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84455A" w14:textId="6798AEB2" w:rsidR="0089463B" w:rsidRDefault="0089463B" w:rsidP="0089463B">
      <w:pPr>
        <w:jc w:val="center"/>
        <w:rPr>
          <w:rFonts w:ascii="Arial" w:eastAsia="Calibri" w:hAnsi="Arial" w:cs="Arial"/>
          <w:b/>
          <w:bCs/>
          <w:spacing w:val="-1"/>
          <w:position w:val="1"/>
          <w:sz w:val="24"/>
          <w:szCs w:val="20"/>
        </w:rPr>
      </w:pPr>
      <w:bookmarkStart w:id="0" w:name="_GoBack"/>
      <w:bookmarkEnd w:id="0"/>
      <w:r w:rsidRPr="00003BD5">
        <w:rPr>
          <w:rFonts w:ascii="Arial" w:eastAsia="Calibri" w:hAnsi="Arial" w:cs="Arial"/>
          <w:b/>
          <w:bCs/>
          <w:spacing w:val="-1"/>
          <w:position w:val="1"/>
          <w:sz w:val="24"/>
          <w:szCs w:val="20"/>
        </w:rPr>
        <w:t>Continuous Improvement Plan</w:t>
      </w:r>
    </w:p>
    <w:p w14:paraId="74655DA4" w14:textId="77777777" w:rsidR="0089463B" w:rsidRPr="00003BD5" w:rsidRDefault="0089463B" w:rsidP="0089463B">
      <w:pPr>
        <w:spacing w:after="0" w:line="242" w:lineRule="exact"/>
        <w:ind w:left="-45" w:right="240"/>
        <w:jc w:val="center"/>
        <w:rPr>
          <w:rFonts w:ascii="Arial" w:eastAsia="Calibri" w:hAnsi="Arial" w:cs="Arial"/>
          <w:b/>
          <w:bCs/>
          <w:spacing w:val="-1"/>
          <w:position w:val="1"/>
          <w:sz w:val="20"/>
          <w:szCs w:val="20"/>
        </w:rPr>
      </w:pPr>
    </w:p>
    <w:p w14:paraId="6FC65583" w14:textId="77777777" w:rsidR="0089463B" w:rsidRDefault="0089463B" w:rsidP="0089463B">
      <w:pPr>
        <w:spacing w:after="0" w:line="242" w:lineRule="exact"/>
        <w:ind w:left="-45" w:right="240"/>
        <w:rPr>
          <w:b/>
          <w:bCs/>
        </w:rPr>
      </w:pPr>
      <w:r w:rsidRPr="34A06E58">
        <w:rPr>
          <w:b/>
          <w:bCs/>
        </w:rPr>
        <w:t xml:space="preserve">Outcomes might not change from year to year. For example, if you have not met previous targets, you may wish to retain the same outcomes. </w:t>
      </w:r>
      <w:r w:rsidRPr="34A06E58">
        <w:rPr>
          <w:b/>
          <w:bCs/>
          <w:i/>
          <w:iCs/>
        </w:rPr>
        <w:t>As an academic program, you must have at least one student learning outcome.</w:t>
      </w:r>
      <w:r w:rsidRPr="34A06E58">
        <w:rPr>
          <w:b/>
          <w:bCs/>
        </w:rPr>
        <w:t xml:space="preserve"> You may also add short-term administrative, technological, assessment, resource or professional development goals, as needed. Choose up to 2 outcomes from Table 1 above to focus on over the next two years.</w:t>
      </w:r>
    </w:p>
    <w:p w14:paraId="26CB6306" w14:textId="77777777" w:rsidR="0089463B" w:rsidRPr="00BC712B" w:rsidRDefault="0089463B" w:rsidP="0089463B">
      <w:pPr>
        <w:spacing w:after="0" w:line="242" w:lineRule="exact"/>
        <w:ind w:left="-45" w:right="240"/>
        <w:rPr>
          <w:rFonts w:cstheme="minorHAnsi"/>
          <w:b/>
          <w:bCs/>
          <w:spacing w:val="-1"/>
          <w:position w:val="1"/>
        </w:rPr>
      </w:pPr>
    </w:p>
    <w:p w14:paraId="63A2AE53" w14:textId="77777777" w:rsidR="0089463B" w:rsidRPr="00BC712B" w:rsidRDefault="0089463B" w:rsidP="0089463B">
      <w:pPr>
        <w:pStyle w:val="NoSpacing"/>
        <w:rPr>
          <w:rFonts w:cstheme="minorHAnsi"/>
        </w:rPr>
      </w:pPr>
      <w:r w:rsidRPr="00BC712B">
        <w:rPr>
          <w:rFonts w:cstheme="minorHAnsi"/>
          <w:b/>
          <w:bCs/>
          <w:spacing w:val="-1"/>
          <w:position w:val="1"/>
        </w:rPr>
        <w:t>A</w:t>
      </w:r>
      <w:r w:rsidRPr="00BC712B">
        <w:rPr>
          <w:rFonts w:cstheme="minorHAnsi"/>
          <w:b/>
          <w:bCs/>
          <w:position w:val="1"/>
        </w:rPr>
        <w:t>.</w:t>
      </w:r>
      <w:r w:rsidRPr="00BC712B">
        <w:rPr>
          <w:rFonts w:cstheme="minorHAnsi"/>
          <w:b/>
          <w:bCs/>
          <w:spacing w:val="-2"/>
          <w:position w:val="1"/>
        </w:rPr>
        <w:t xml:space="preserve"> </w:t>
      </w:r>
      <w:r w:rsidRPr="00BC712B">
        <w:rPr>
          <w:rFonts w:cstheme="minorHAnsi"/>
          <w:b/>
          <w:bCs/>
          <w:w w:val="99"/>
          <w:position w:val="1"/>
        </w:rPr>
        <w:t>O</w:t>
      </w:r>
      <w:r w:rsidRPr="00BC712B">
        <w:rPr>
          <w:rFonts w:cstheme="minorHAnsi"/>
          <w:b/>
          <w:bCs/>
          <w:spacing w:val="1"/>
          <w:w w:val="99"/>
          <w:position w:val="1"/>
        </w:rPr>
        <w:t>u</w:t>
      </w:r>
      <w:r w:rsidRPr="00BC712B">
        <w:rPr>
          <w:rFonts w:cstheme="minorHAnsi"/>
          <w:b/>
          <w:bCs/>
          <w:w w:val="99"/>
          <w:position w:val="1"/>
        </w:rPr>
        <w:t>t</w:t>
      </w:r>
      <w:r w:rsidRPr="00BC712B">
        <w:rPr>
          <w:rFonts w:cstheme="minorHAnsi"/>
          <w:b/>
          <w:bCs/>
          <w:spacing w:val="1"/>
          <w:w w:val="99"/>
          <w:position w:val="1"/>
        </w:rPr>
        <w:t xml:space="preserve">come(s) </w:t>
      </w:r>
      <w:r w:rsidRPr="00BC712B">
        <w:rPr>
          <w:rFonts w:cstheme="minorHAnsi"/>
          <w:bCs/>
          <w:spacing w:val="1"/>
          <w:w w:val="99"/>
          <w:position w:val="1"/>
        </w:rPr>
        <w:t>-</w:t>
      </w:r>
      <w:r w:rsidRPr="00BC712B">
        <w:rPr>
          <w:rFonts w:cstheme="minorHAnsi"/>
          <w:b/>
          <w:bCs/>
          <w:spacing w:val="1"/>
          <w:w w:val="99"/>
          <w:position w:val="1"/>
        </w:rPr>
        <w:t xml:space="preserve"> </w:t>
      </w:r>
      <w:r w:rsidRPr="00BC712B">
        <w:rPr>
          <w:rFonts w:cstheme="minorHAnsi"/>
          <w:spacing w:val="1"/>
        </w:rPr>
        <w:t>R</w:t>
      </w:r>
      <w:r w:rsidRPr="00BC712B">
        <w:rPr>
          <w:rFonts w:cstheme="minorHAnsi"/>
          <w:spacing w:val="-1"/>
        </w:rPr>
        <w:t>esu</w:t>
      </w:r>
      <w:r w:rsidRPr="00BC712B">
        <w:rPr>
          <w:rFonts w:cstheme="minorHAnsi"/>
        </w:rPr>
        <w:t xml:space="preserve">lts </w:t>
      </w:r>
      <w:r w:rsidRPr="00BC712B">
        <w:rPr>
          <w:rFonts w:cstheme="minorHAnsi"/>
          <w:spacing w:val="-1"/>
        </w:rPr>
        <w:t>e</w:t>
      </w:r>
      <w:r w:rsidRPr="00BC712B">
        <w:rPr>
          <w:rFonts w:cstheme="minorHAnsi"/>
          <w:spacing w:val="1"/>
        </w:rPr>
        <w:t>x</w:t>
      </w:r>
      <w:r w:rsidRPr="00BC712B">
        <w:rPr>
          <w:rFonts w:cstheme="minorHAnsi"/>
          <w:spacing w:val="-1"/>
        </w:rPr>
        <w:t>pe</w:t>
      </w:r>
      <w:r w:rsidRPr="00BC712B">
        <w:rPr>
          <w:rFonts w:cstheme="minorHAnsi"/>
          <w:spacing w:val="1"/>
        </w:rPr>
        <w:t>c</w:t>
      </w:r>
      <w:r w:rsidRPr="00BC712B">
        <w:rPr>
          <w:rFonts w:cstheme="minorHAnsi"/>
        </w:rPr>
        <w:t>t</w:t>
      </w:r>
      <w:r w:rsidRPr="00BC712B">
        <w:rPr>
          <w:rFonts w:cstheme="minorHAnsi"/>
          <w:spacing w:val="2"/>
        </w:rPr>
        <w:t>e</w:t>
      </w:r>
      <w:r w:rsidRPr="00BC712B">
        <w:rPr>
          <w:rFonts w:cstheme="minorHAnsi"/>
        </w:rPr>
        <w:t>d</w:t>
      </w:r>
      <w:r w:rsidRPr="00BC712B">
        <w:rPr>
          <w:rFonts w:cstheme="minorHAnsi"/>
          <w:spacing w:val="-5"/>
        </w:rPr>
        <w:t xml:space="preserve"> </w:t>
      </w:r>
      <w:r w:rsidRPr="00BC712B">
        <w:rPr>
          <w:rFonts w:cstheme="minorHAnsi"/>
        </w:rPr>
        <w:t>in</w:t>
      </w:r>
      <w:r w:rsidRPr="00BC712B">
        <w:rPr>
          <w:rFonts w:cstheme="minorHAnsi"/>
          <w:spacing w:val="-1"/>
        </w:rPr>
        <w:t xml:space="preserve"> </w:t>
      </w:r>
      <w:r w:rsidRPr="00BC712B">
        <w:rPr>
          <w:rFonts w:cstheme="minorHAnsi"/>
          <w:spacing w:val="2"/>
        </w:rPr>
        <w:t>t</w:t>
      </w:r>
      <w:r w:rsidRPr="00BC712B">
        <w:rPr>
          <w:rFonts w:cstheme="minorHAnsi"/>
          <w:spacing w:val="-1"/>
        </w:rPr>
        <w:t>h</w:t>
      </w:r>
      <w:r w:rsidRPr="00BC712B">
        <w:rPr>
          <w:rFonts w:cstheme="minorHAnsi"/>
        </w:rPr>
        <w:t>is</w:t>
      </w:r>
      <w:r w:rsidRPr="00BC712B">
        <w:rPr>
          <w:rFonts w:cstheme="minorHAnsi"/>
          <w:spacing w:val="-2"/>
        </w:rPr>
        <w:t xml:space="preserve"> </w:t>
      </w:r>
      <w:r w:rsidRPr="00BC712B">
        <w:rPr>
          <w:rFonts w:cstheme="minorHAnsi"/>
          <w:spacing w:val="-1"/>
        </w:rPr>
        <w:t>p</w:t>
      </w:r>
      <w:r w:rsidRPr="00BC712B">
        <w:rPr>
          <w:rFonts w:cstheme="minorHAnsi"/>
          <w:w w:val="99"/>
        </w:rPr>
        <w:t>r</w:t>
      </w:r>
      <w:r w:rsidRPr="00BC712B">
        <w:rPr>
          <w:rFonts w:cstheme="minorHAnsi"/>
          <w:spacing w:val="1"/>
          <w:w w:val="99"/>
        </w:rPr>
        <w:t>o</w:t>
      </w:r>
      <w:r w:rsidRPr="00BC712B">
        <w:rPr>
          <w:rFonts w:cstheme="minorHAnsi"/>
          <w:spacing w:val="-1"/>
          <w:w w:val="99"/>
        </w:rPr>
        <w:t>g</w:t>
      </w:r>
      <w:r w:rsidRPr="00BC712B">
        <w:rPr>
          <w:rFonts w:cstheme="minorHAnsi"/>
          <w:w w:val="99"/>
        </w:rPr>
        <w:t>ram (</w:t>
      </w:r>
      <w:r>
        <w:rPr>
          <w:rFonts w:cstheme="minorHAnsi"/>
          <w:w w:val="99"/>
        </w:rPr>
        <w:t>from column A on Table 1 above--</w:t>
      </w:r>
      <w:r w:rsidRPr="00BC712B">
        <w:rPr>
          <w:rFonts w:cstheme="minorHAnsi"/>
          <w:w w:val="99"/>
        </w:rPr>
        <w:t xml:space="preserve">e.g. Students will learn how to compare/contrast </w:t>
      </w:r>
      <w:r>
        <w:rPr>
          <w:rFonts w:cstheme="minorHAnsi"/>
          <w:w w:val="99"/>
        </w:rPr>
        <w:t>C</w:t>
      </w:r>
      <w:r w:rsidRPr="00BC712B">
        <w:rPr>
          <w:rFonts w:cstheme="minorHAnsi"/>
          <w:w w:val="99"/>
        </w:rPr>
        <w:t xml:space="preserve">onflict and </w:t>
      </w:r>
      <w:r>
        <w:rPr>
          <w:rFonts w:cstheme="minorHAnsi"/>
          <w:w w:val="99"/>
        </w:rPr>
        <w:t>Structural F</w:t>
      </w:r>
      <w:r w:rsidRPr="00BC712B">
        <w:rPr>
          <w:rFonts w:cstheme="minorHAnsi"/>
          <w:w w:val="99"/>
        </w:rPr>
        <w:t>unctional theories; increase student retention in Nursing Program).</w:t>
      </w:r>
    </w:p>
    <w:p w14:paraId="73069B7D" w14:textId="77777777" w:rsidR="0089463B" w:rsidRPr="00BC712B" w:rsidRDefault="0089463B" w:rsidP="0089463B">
      <w:pPr>
        <w:pStyle w:val="NoSpacing"/>
        <w:rPr>
          <w:rFonts w:cstheme="minorHAnsi"/>
        </w:rPr>
      </w:pPr>
      <w:r w:rsidRPr="00BC712B">
        <w:rPr>
          <w:rFonts w:cstheme="minorHAnsi"/>
          <w:b/>
          <w:bCs/>
          <w:spacing w:val="1"/>
          <w:position w:val="1"/>
        </w:rPr>
        <w:t>B</w:t>
      </w:r>
      <w:r w:rsidRPr="00BC712B">
        <w:rPr>
          <w:rFonts w:cstheme="minorHAnsi"/>
          <w:b/>
          <w:bCs/>
          <w:position w:val="1"/>
        </w:rPr>
        <w:t>.</w:t>
      </w:r>
      <w:r w:rsidRPr="00BC712B">
        <w:rPr>
          <w:rFonts w:cstheme="minorHAnsi"/>
          <w:b/>
          <w:bCs/>
          <w:spacing w:val="-2"/>
          <w:position w:val="1"/>
        </w:rPr>
        <w:t xml:space="preserve"> </w:t>
      </w:r>
      <w:r w:rsidRPr="00BC712B">
        <w:rPr>
          <w:rFonts w:cstheme="minorHAnsi"/>
          <w:b/>
          <w:bCs/>
          <w:spacing w:val="1"/>
          <w:w w:val="99"/>
          <w:position w:val="1"/>
        </w:rPr>
        <w:t>Me</w:t>
      </w:r>
      <w:r w:rsidRPr="00BC712B">
        <w:rPr>
          <w:rFonts w:cstheme="minorHAnsi"/>
          <w:b/>
          <w:bCs/>
          <w:w w:val="99"/>
          <w:position w:val="1"/>
        </w:rPr>
        <w:t>as</w:t>
      </w:r>
      <w:r w:rsidRPr="00BC712B">
        <w:rPr>
          <w:rFonts w:cstheme="minorHAnsi"/>
          <w:b/>
          <w:bCs/>
          <w:spacing w:val="1"/>
          <w:w w:val="99"/>
          <w:position w:val="1"/>
        </w:rPr>
        <w:t>ur</w:t>
      </w:r>
      <w:r w:rsidRPr="00BC712B">
        <w:rPr>
          <w:rFonts w:cstheme="minorHAnsi"/>
          <w:b/>
          <w:bCs/>
          <w:w w:val="99"/>
          <w:position w:val="1"/>
        </w:rPr>
        <w:t xml:space="preserve">e(s) </w:t>
      </w:r>
      <w:r w:rsidRPr="00BC712B">
        <w:rPr>
          <w:rFonts w:cstheme="minorHAnsi"/>
          <w:bCs/>
          <w:w w:val="99"/>
          <w:position w:val="1"/>
        </w:rPr>
        <w:t>-</w:t>
      </w:r>
      <w:r w:rsidRPr="00BC712B">
        <w:rPr>
          <w:rFonts w:cstheme="minorHAnsi"/>
          <w:b/>
          <w:bCs/>
          <w:w w:val="99"/>
          <w:position w:val="1"/>
        </w:rPr>
        <w:t xml:space="preserve"> </w:t>
      </w:r>
      <w:r w:rsidRPr="00BC712B">
        <w:rPr>
          <w:rFonts w:cstheme="minorHAnsi"/>
          <w:spacing w:val="-1"/>
        </w:rPr>
        <w:t>Ins</w:t>
      </w:r>
      <w:r w:rsidRPr="00BC712B">
        <w:rPr>
          <w:rFonts w:cstheme="minorHAnsi"/>
        </w:rPr>
        <w:t>t</w:t>
      </w:r>
      <w:r w:rsidRPr="00BC712B">
        <w:rPr>
          <w:rFonts w:cstheme="minorHAnsi"/>
          <w:spacing w:val="2"/>
        </w:rPr>
        <w:t>r</w:t>
      </w:r>
      <w:r w:rsidRPr="00BC712B">
        <w:rPr>
          <w:rFonts w:cstheme="minorHAnsi"/>
          <w:spacing w:val="-1"/>
        </w:rPr>
        <w:t>u</w:t>
      </w:r>
      <w:r w:rsidRPr="00BC712B">
        <w:rPr>
          <w:rFonts w:cstheme="minorHAnsi"/>
        </w:rPr>
        <w:t>m</w:t>
      </w:r>
      <w:r w:rsidRPr="00BC712B">
        <w:rPr>
          <w:rFonts w:cstheme="minorHAnsi"/>
          <w:spacing w:val="2"/>
        </w:rPr>
        <w:t>e</w:t>
      </w:r>
      <w:r w:rsidRPr="00BC712B">
        <w:rPr>
          <w:rFonts w:cstheme="minorHAnsi"/>
          <w:spacing w:val="-1"/>
        </w:rPr>
        <w:t>n</w:t>
      </w:r>
      <w:r w:rsidRPr="00BC712B">
        <w:rPr>
          <w:rFonts w:cstheme="minorHAnsi"/>
        </w:rPr>
        <w:t>t(s)/</w:t>
      </w:r>
      <w:r w:rsidRPr="00BC712B">
        <w:rPr>
          <w:rFonts w:cstheme="minorHAnsi"/>
          <w:spacing w:val="-1"/>
        </w:rPr>
        <w:t>p</w:t>
      </w:r>
      <w:r w:rsidRPr="00BC712B">
        <w:rPr>
          <w:rFonts w:cstheme="minorHAnsi"/>
        </w:rPr>
        <w:t>r</w:t>
      </w:r>
      <w:r w:rsidRPr="00BC712B">
        <w:rPr>
          <w:rFonts w:cstheme="minorHAnsi"/>
          <w:spacing w:val="1"/>
        </w:rPr>
        <w:t>oc</w:t>
      </w:r>
      <w:r w:rsidRPr="00BC712B">
        <w:rPr>
          <w:rFonts w:cstheme="minorHAnsi"/>
          <w:spacing w:val="-1"/>
        </w:rPr>
        <w:t>es</w:t>
      </w:r>
      <w:r w:rsidRPr="00BC712B">
        <w:rPr>
          <w:rFonts w:cstheme="minorHAnsi"/>
        </w:rPr>
        <w:t>s(es)</w:t>
      </w:r>
      <w:r w:rsidRPr="00BC712B">
        <w:rPr>
          <w:rFonts w:cstheme="minorHAnsi"/>
          <w:spacing w:val="-3"/>
        </w:rPr>
        <w:t xml:space="preserve"> </w:t>
      </w:r>
      <w:r w:rsidRPr="00BC712B">
        <w:rPr>
          <w:rFonts w:cstheme="minorHAnsi"/>
          <w:spacing w:val="1"/>
        </w:rPr>
        <w:t>u</w:t>
      </w:r>
      <w:r w:rsidRPr="00BC712B">
        <w:rPr>
          <w:rFonts w:cstheme="minorHAnsi"/>
          <w:spacing w:val="-1"/>
        </w:rPr>
        <w:t>s</w:t>
      </w:r>
      <w:r w:rsidRPr="00BC712B">
        <w:rPr>
          <w:rFonts w:cstheme="minorHAnsi"/>
          <w:spacing w:val="2"/>
        </w:rPr>
        <w:t>e</w:t>
      </w:r>
      <w:r w:rsidRPr="00BC712B">
        <w:rPr>
          <w:rFonts w:cstheme="minorHAnsi"/>
        </w:rPr>
        <w:t>d</w:t>
      </w:r>
      <w:r w:rsidRPr="00BC712B">
        <w:rPr>
          <w:rFonts w:cstheme="minorHAnsi"/>
          <w:spacing w:val="-3"/>
        </w:rPr>
        <w:t xml:space="preserve"> </w:t>
      </w:r>
      <w:r w:rsidRPr="00BC712B">
        <w:rPr>
          <w:rFonts w:cstheme="minorHAnsi"/>
          <w:spacing w:val="2"/>
        </w:rPr>
        <w:t>t</w:t>
      </w:r>
      <w:r w:rsidRPr="00BC712B">
        <w:rPr>
          <w:rFonts w:cstheme="minorHAnsi"/>
        </w:rPr>
        <w:t>o m</w:t>
      </w:r>
      <w:r w:rsidRPr="00BC712B">
        <w:rPr>
          <w:rFonts w:cstheme="minorHAnsi"/>
          <w:spacing w:val="-1"/>
        </w:rPr>
        <w:t>e</w:t>
      </w:r>
      <w:r w:rsidRPr="00BC712B">
        <w:rPr>
          <w:rFonts w:cstheme="minorHAnsi"/>
        </w:rPr>
        <w:t>a</w:t>
      </w:r>
      <w:r w:rsidRPr="00BC712B">
        <w:rPr>
          <w:rFonts w:cstheme="minorHAnsi"/>
          <w:spacing w:val="-1"/>
        </w:rPr>
        <w:t>su</w:t>
      </w:r>
      <w:r w:rsidRPr="00BC712B">
        <w:rPr>
          <w:rFonts w:cstheme="minorHAnsi"/>
          <w:w w:val="99"/>
        </w:rPr>
        <w:t>r</w:t>
      </w:r>
      <w:r w:rsidRPr="00BC712B">
        <w:rPr>
          <w:rFonts w:cstheme="minorHAnsi"/>
          <w:spacing w:val="2"/>
          <w:w w:val="99"/>
        </w:rPr>
        <w:t>e re</w:t>
      </w:r>
      <w:r w:rsidRPr="00BC712B">
        <w:rPr>
          <w:rFonts w:cstheme="minorHAnsi"/>
          <w:spacing w:val="-1"/>
        </w:rPr>
        <w:t>sul</w:t>
      </w:r>
      <w:r w:rsidRPr="00BC712B">
        <w:rPr>
          <w:rFonts w:cstheme="minorHAnsi"/>
          <w:spacing w:val="2"/>
          <w:w w:val="99"/>
        </w:rPr>
        <w:t>t</w:t>
      </w:r>
      <w:r w:rsidRPr="00BC712B">
        <w:rPr>
          <w:rFonts w:cstheme="minorHAnsi"/>
        </w:rPr>
        <w:t>s (e.g. results of essay assignment, test item questions 6 &amp; 7 from final exam, end of term retention rates, etc.).</w:t>
      </w:r>
    </w:p>
    <w:p w14:paraId="5F87F57B" w14:textId="77777777" w:rsidR="0089463B" w:rsidRPr="00BC712B" w:rsidRDefault="0089463B" w:rsidP="0089463B">
      <w:pPr>
        <w:pStyle w:val="NoSpacing"/>
        <w:rPr>
          <w:rFonts w:cstheme="minorHAnsi"/>
        </w:rPr>
      </w:pPr>
      <w:r w:rsidRPr="00BC712B">
        <w:rPr>
          <w:rFonts w:cstheme="minorHAnsi"/>
          <w:b/>
          <w:bCs/>
          <w:position w:val="1"/>
        </w:rPr>
        <w:t>C.</w:t>
      </w:r>
      <w:r w:rsidRPr="00BC712B">
        <w:rPr>
          <w:rFonts w:cstheme="minorHAnsi"/>
          <w:b/>
          <w:bCs/>
          <w:spacing w:val="-2"/>
          <w:position w:val="1"/>
        </w:rPr>
        <w:t xml:space="preserve"> </w:t>
      </w:r>
      <w:r w:rsidRPr="00BC712B">
        <w:rPr>
          <w:rFonts w:cstheme="minorHAnsi"/>
          <w:b/>
          <w:bCs/>
          <w:w w:val="99"/>
          <w:position w:val="1"/>
        </w:rPr>
        <w:t>Ta</w:t>
      </w:r>
      <w:r w:rsidRPr="00BC712B">
        <w:rPr>
          <w:rFonts w:cstheme="minorHAnsi"/>
          <w:b/>
          <w:bCs/>
          <w:spacing w:val="1"/>
          <w:w w:val="99"/>
          <w:position w:val="1"/>
        </w:rPr>
        <w:t>r</w:t>
      </w:r>
      <w:r w:rsidRPr="00BC712B">
        <w:rPr>
          <w:rFonts w:cstheme="minorHAnsi"/>
          <w:b/>
          <w:bCs/>
          <w:spacing w:val="-1"/>
          <w:w w:val="99"/>
          <w:position w:val="1"/>
        </w:rPr>
        <w:t>g</w:t>
      </w:r>
      <w:r w:rsidRPr="00BC712B">
        <w:rPr>
          <w:rFonts w:cstheme="minorHAnsi"/>
          <w:b/>
          <w:bCs/>
          <w:spacing w:val="1"/>
          <w:w w:val="99"/>
          <w:position w:val="1"/>
        </w:rPr>
        <w:t>e</w:t>
      </w:r>
      <w:r w:rsidRPr="00BC712B">
        <w:rPr>
          <w:rFonts w:cstheme="minorHAnsi"/>
          <w:b/>
          <w:bCs/>
          <w:w w:val="99"/>
          <w:position w:val="1"/>
        </w:rPr>
        <w:t xml:space="preserve">t(s) </w:t>
      </w:r>
      <w:r w:rsidRPr="00BC712B">
        <w:rPr>
          <w:rFonts w:cstheme="minorHAnsi"/>
          <w:bCs/>
          <w:w w:val="99"/>
          <w:position w:val="1"/>
        </w:rPr>
        <w:t>-</w:t>
      </w:r>
      <w:r w:rsidRPr="00BC712B">
        <w:rPr>
          <w:rFonts w:cstheme="minorHAnsi"/>
          <w:b/>
          <w:bCs/>
          <w:w w:val="99"/>
          <w:position w:val="1"/>
        </w:rPr>
        <w:t xml:space="preserve"> </w:t>
      </w:r>
      <w:r w:rsidRPr="00BC712B">
        <w:rPr>
          <w:rFonts w:cstheme="minorHAnsi"/>
          <w:spacing w:val="-1"/>
        </w:rPr>
        <w:t>Degree</w:t>
      </w:r>
      <w:r w:rsidRPr="00BC712B">
        <w:rPr>
          <w:rFonts w:cstheme="minorHAnsi"/>
          <w:spacing w:val="-3"/>
        </w:rPr>
        <w:t xml:space="preserve"> </w:t>
      </w:r>
      <w:r w:rsidRPr="00BC712B">
        <w:rPr>
          <w:rFonts w:cstheme="minorHAnsi"/>
          <w:spacing w:val="1"/>
        </w:rPr>
        <w:t>o</w:t>
      </w:r>
      <w:r w:rsidRPr="00BC712B">
        <w:rPr>
          <w:rFonts w:cstheme="minorHAnsi"/>
        </w:rPr>
        <w:t>f</w:t>
      </w:r>
      <w:r w:rsidRPr="00BC712B">
        <w:rPr>
          <w:rFonts w:cstheme="minorHAnsi"/>
          <w:spacing w:val="1"/>
        </w:rPr>
        <w:t xml:space="preserve"> </w:t>
      </w:r>
      <w:r w:rsidRPr="00BC712B">
        <w:rPr>
          <w:rFonts w:cstheme="minorHAnsi"/>
          <w:spacing w:val="-1"/>
        </w:rPr>
        <w:t>su</w:t>
      </w:r>
      <w:r w:rsidRPr="00BC712B">
        <w:rPr>
          <w:rFonts w:cstheme="minorHAnsi"/>
          <w:spacing w:val="1"/>
        </w:rPr>
        <w:t>cc</w:t>
      </w:r>
      <w:r w:rsidRPr="00BC712B">
        <w:rPr>
          <w:rFonts w:cstheme="minorHAnsi"/>
          <w:spacing w:val="-1"/>
        </w:rPr>
        <w:t>e</w:t>
      </w:r>
      <w:r w:rsidRPr="00BC712B">
        <w:rPr>
          <w:rFonts w:cstheme="minorHAnsi"/>
          <w:spacing w:val="2"/>
        </w:rPr>
        <w:t>s</w:t>
      </w:r>
      <w:r w:rsidRPr="00BC712B">
        <w:rPr>
          <w:rFonts w:cstheme="minorHAnsi"/>
        </w:rPr>
        <w:t>s</w:t>
      </w:r>
      <w:r w:rsidRPr="00BC712B">
        <w:rPr>
          <w:rFonts w:cstheme="minorHAnsi"/>
          <w:spacing w:val="-3"/>
        </w:rPr>
        <w:t xml:space="preserve"> </w:t>
      </w:r>
      <w:r w:rsidRPr="00BC712B">
        <w:rPr>
          <w:rFonts w:cstheme="minorHAnsi"/>
          <w:spacing w:val="-1"/>
          <w:w w:val="99"/>
        </w:rPr>
        <w:t>e</w:t>
      </w:r>
      <w:r w:rsidRPr="00BC712B">
        <w:rPr>
          <w:rFonts w:cstheme="minorHAnsi"/>
          <w:spacing w:val="1"/>
        </w:rPr>
        <w:t>x</w:t>
      </w:r>
      <w:r w:rsidRPr="00BC712B">
        <w:rPr>
          <w:rFonts w:cstheme="minorHAnsi"/>
          <w:spacing w:val="-1"/>
        </w:rPr>
        <w:t>p</w:t>
      </w:r>
      <w:r w:rsidRPr="00BC712B">
        <w:rPr>
          <w:rFonts w:cstheme="minorHAnsi"/>
          <w:spacing w:val="-1"/>
          <w:w w:val="99"/>
        </w:rPr>
        <w:t>e</w:t>
      </w:r>
      <w:r w:rsidRPr="00BC712B">
        <w:rPr>
          <w:rFonts w:cstheme="minorHAnsi"/>
          <w:spacing w:val="1"/>
          <w:w w:val="99"/>
        </w:rPr>
        <w:t>c</w:t>
      </w:r>
      <w:r w:rsidRPr="00BC712B">
        <w:rPr>
          <w:rFonts w:cstheme="minorHAnsi"/>
          <w:w w:val="99"/>
        </w:rPr>
        <w:t>t</w:t>
      </w:r>
      <w:r w:rsidRPr="00BC712B">
        <w:rPr>
          <w:rFonts w:cstheme="minorHAnsi"/>
          <w:spacing w:val="2"/>
          <w:w w:val="99"/>
        </w:rPr>
        <w:t>e</w:t>
      </w:r>
      <w:r w:rsidRPr="00BC712B">
        <w:rPr>
          <w:rFonts w:cstheme="minorHAnsi"/>
        </w:rPr>
        <w:t>d (e.g. 80% success rate, 25 graduates per year, increase retention by 2% etc.).</w:t>
      </w:r>
    </w:p>
    <w:p w14:paraId="7DE15F40" w14:textId="77777777" w:rsidR="0089463B" w:rsidRPr="00BC712B" w:rsidRDefault="0089463B" w:rsidP="0089463B">
      <w:pPr>
        <w:pStyle w:val="NoSpacing"/>
      </w:pPr>
      <w:r w:rsidRPr="34A06E58">
        <w:rPr>
          <w:b/>
          <w:bCs/>
        </w:rPr>
        <w:t xml:space="preserve">D. Action Plan </w:t>
      </w:r>
      <w:r w:rsidRPr="34A06E58">
        <w:t>-</w:t>
      </w:r>
      <w:r w:rsidRPr="34A06E58">
        <w:rPr>
          <w:b/>
          <w:bCs/>
        </w:rPr>
        <w:t xml:space="preserve"> </w:t>
      </w:r>
      <w:r w:rsidRPr="34A06E58">
        <w:t>Implementation of the action plan will begin during the next academic year. Based on analysis, identify actions to be taken to accomplish outcome. What will you do?</w:t>
      </w:r>
    </w:p>
    <w:p w14:paraId="4A1005D9" w14:textId="77777777" w:rsidR="0089463B" w:rsidRPr="00BC712B" w:rsidRDefault="0089463B" w:rsidP="0089463B">
      <w:pPr>
        <w:pStyle w:val="NoSpacing"/>
      </w:pPr>
      <w:r w:rsidRPr="34A06E58">
        <w:rPr>
          <w:b/>
          <w:bCs/>
        </w:rPr>
        <w:t xml:space="preserve">E. Results Summary </w:t>
      </w:r>
      <w:r w:rsidRPr="34A06E58">
        <w:t>- Summarize the information and data collected in year 1.</w:t>
      </w:r>
    </w:p>
    <w:p w14:paraId="63BD2960" w14:textId="77777777" w:rsidR="0089463B" w:rsidRPr="00BC712B" w:rsidRDefault="0089463B" w:rsidP="0089463B">
      <w:pPr>
        <w:pStyle w:val="NoSpacing"/>
      </w:pPr>
      <w:r w:rsidRPr="34A06E58">
        <w:rPr>
          <w:b/>
          <w:bCs/>
        </w:rPr>
        <w:t>F. Findings</w:t>
      </w:r>
      <w:r w:rsidRPr="34A06E58">
        <w:t xml:space="preserve"> - Explain how the information and data has impacted the expected outcome and program success. </w:t>
      </w:r>
    </w:p>
    <w:p w14:paraId="6AE93604" w14:textId="77777777" w:rsidR="0089463B" w:rsidRPr="00BC712B" w:rsidRDefault="0089463B" w:rsidP="0089463B">
      <w:pPr>
        <w:pStyle w:val="NoSpacing"/>
      </w:pPr>
      <w:r w:rsidRPr="34A06E58">
        <w:rPr>
          <w:b/>
          <w:bCs/>
        </w:rPr>
        <w:t xml:space="preserve">G. Implementation of Findings </w:t>
      </w:r>
      <w:r w:rsidRPr="34A06E58">
        <w:t xml:space="preserve">– Describe how you used your findings and analysis of the data to make improvements to your program. </w:t>
      </w:r>
    </w:p>
    <w:p w14:paraId="0FCA381C" w14:textId="77777777" w:rsidR="0089463B" w:rsidRPr="00BC712B" w:rsidRDefault="0089463B" w:rsidP="0089463B">
      <w:pPr>
        <w:pStyle w:val="NoSpacing"/>
        <w:rPr>
          <w:rFonts w:cstheme="minorHAnsi"/>
          <w:b/>
          <w:color w:val="4472C4" w:themeColor="accent1"/>
        </w:rPr>
      </w:pPr>
    </w:p>
    <w:p w14:paraId="5BD73900" w14:textId="77777777" w:rsidR="0089463B" w:rsidRPr="00BC712B" w:rsidRDefault="0089463B" w:rsidP="0089463B">
      <w:pPr>
        <w:pStyle w:val="NoSpacing"/>
        <w:rPr>
          <w:rFonts w:cstheme="minorHAnsi"/>
        </w:rPr>
      </w:pPr>
      <w:r w:rsidRPr="0097098C">
        <w:rPr>
          <w:rFonts w:asciiTheme="majorHAnsi" w:hAnsiTheme="majorHAnsi" w:cstheme="minorHAnsi"/>
          <w:b/>
          <w:color w:val="4472C4" w:themeColor="accent1"/>
          <w:sz w:val="24"/>
          <w:szCs w:val="24"/>
        </w:rPr>
        <w:t>Table 2. CIP Outcomes 1 &amp; 2</w:t>
      </w:r>
    </w:p>
    <w:tbl>
      <w:tblPr>
        <w:tblStyle w:val="TableGrid"/>
        <w:tblW w:w="13518" w:type="dxa"/>
        <w:tblInd w:w="-23" w:type="dxa"/>
        <w:tblLayout w:type="fixed"/>
        <w:tblLook w:val="04A0" w:firstRow="1" w:lastRow="0" w:firstColumn="1" w:lastColumn="0" w:noHBand="0" w:noVBand="1"/>
      </w:tblPr>
      <w:tblGrid>
        <w:gridCol w:w="7455"/>
        <w:gridCol w:w="6063"/>
      </w:tblGrid>
      <w:tr w:rsidR="0089463B" w14:paraId="14E1B346" w14:textId="77777777" w:rsidTr="6193351C">
        <w:trPr>
          <w:trHeight w:val="537"/>
        </w:trPr>
        <w:tc>
          <w:tcPr>
            <w:tcW w:w="13518" w:type="dxa"/>
            <w:gridSpan w:val="2"/>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6AB2A2FE" w14:textId="77777777" w:rsidR="0089463B" w:rsidRPr="00003BD5" w:rsidRDefault="0089463B" w:rsidP="0089463B">
            <w:pPr>
              <w:pStyle w:val="NoSpacing"/>
              <w:numPr>
                <w:ilvl w:val="0"/>
                <w:numId w:val="2"/>
              </w:numPr>
              <w:rPr>
                <w:rFonts w:ascii="Arial" w:hAnsi="Arial" w:cs="Arial"/>
                <w:b/>
                <w:bCs/>
                <w:sz w:val="20"/>
                <w:szCs w:val="20"/>
              </w:rPr>
            </w:pPr>
            <w:r w:rsidRPr="5F990283">
              <w:rPr>
                <w:rFonts w:ascii="Arial" w:hAnsi="Arial" w:cs="Arial"/>
                <w:b/>
                <w:bCs/>
                <w:sz w:val="20"/>
                <w:szCs w:val="20"/>
              </w:rPr>
              <w:t>Outcome #1</w:t>
            </w:r>
          </w:p>
          <w:p w14:paraId="6223DCFD" w14:textId="73882974" w:rsidR="0089463B" w:rsidRPr="00003BD5" w:rsidRDefault="0089463B" w:rsidP="00F26DE3">
            <w:pPr>
              <w:spacing w:before="9" w:line="200" w:lineRule="exact"/>
              <w:rPr>
                <w:rFonts w:eastAsia="Franklin Gothic Book" w:cs="Franklin Gothic Book"/>
                <w:sz w:val="20"/>
                <w:szCs w:val="20"/>
              </w:rPr>
            </w:pPr>
            <w:r w:rsidRPr="6193351C">
              <w:rPr>
                <w:rFonts w:eastAsia="Franklin Gothic Book" w:cs="Franklin Gothic Book"/>
                <w:sz w:val="20"/>
                <w:szCs w:val="20"/>
              </w:rPr>
              <w:t>Field of Study students will analyze and complete a 12 to 16</w:t>
            </w:r>
            <w:r w:rsidR="695A8720" w:rsidRPr="6193351C">
              <w:rPr>
                <w:rFonts w:eastAsia="Franklin Gothic Book" w:cs="Franklin Gothic Book"/>
                <w:sz w:val="20"/>
                <w:szCs w:val="20"/>
              </w:rPr>
              <w:t xml:space="preserve"> </w:t>
            </w:r>
            <w:r w:rsidRPr="6193351C">
              <w:rPr>
                <w:rFonts w:eastAsia="Franklin Gothic Book" w:cs="Franklin Gothic Book"/>
                <w:sz w:val="20"/>
                <w:szCs w:val="20"/>
              </w:rPr>
              <w:t>chord figured bass realization in SATB voicing applying the standard elements of the Common Practice Era.</w:t>
            </w:r>
          </w:p>
        </w:tc>
      </w:tr>
      <w:tr w:rsidR="0089463B" w14:paraId="55B633E9" w14:textId="77777777" w:rsidTr="6193351C">
        <w:trPr>
          <w:trHeight w:val="675"/>
        </w:trPr>
        <w:tc>
          <w:tcPr>
            <w:tcW w:w="7455"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31A74458" w14:textId="77777777" w:rsidR="0089463B" w:rsidRPr="00003BD5" w:rsidRDefault="0089463B" w:rsidP="0089463B">
            <w:pPr>
              <w:pStyle w:val="NoSpacing"/>
              <w:numPr>
                <w:ilvl w:val="0"/>
                <w:numId w:val="2"/>
              </w:numPr>
              <w:rPr>
                <w:rFonts w:ascii="Arial" w:hAnsi="Arial" w:cs="Arial"/>
                <w:b/>
                <w:bCs/>
                <w:sz w:val="20"/>
                <w:szCs w:val="20"/>
              </w:rPr>
            </w:pPr>
            <w:r w:rsidRPr="5F990283">
              <w:rPr>
                <w:rFonts w:ascii="Arial" w:hAnsi="Arial" w:cs="Arial"/>
                <w:b/>
                <w:bCs/>
                <w:sz w:val="20"/>
                <w:szCs w:val="20"/>
              </w:rPr>
              <w:t>Measure (Outcome #1)</w:t>
            </w:r>
          </w:p>
          <w:p w14:paraId="78F5BB7B" w14:textId="77777777" w:rsidR="0089463B" w:rsidRPr="00003BD5" w:rsidRDefault="0089463B" w:rsidP="00F26DE3">
            <w:pPr>
              <w:pStyle w:val="NoSpacing"/>
              <w:rPr>
                <w:rFonts w:eastAsia="Franklin Gothic Book" w:cs="Franklin Gothic Book"/>
                <w:sz w:val="20"/>
                <w:szCs w:val="20"/>
              </w:rPr>
            </w:pPr>
            <w:r w:rsidRPr="5F990283">
              <w:rPr>
                <w:rFonts w:eastAsia="Franklin Gothic Book" w:cs="Franklin Gothic Book"/>
                <w:sz w:val="20"/>
                <w:szCs w:val="20"/>
              </w:rPr>
              <w:t>Three measure analysis and part writing of a 12-16 chord harmonic figured bass passage in a major or minor key with one closely related modulation with examples of color chords.</w:t>
            </w:r>
          </w:p>
        </w:tc>
        <w:tc>
          <w:tcPr>
            <w:tcW w:w="6063"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062663E2" w14:textId="77777777" w:rsidR="0089463B" w:rsidRPr="00003BD5" w:rsidRDefault="0089463B" w:rsidP="0089463B">
            <w:pPr>
              <w:pStyle w:val="NoSpacing"/>
              <w:numPr>
                <w:ilvl w:val="0"/>
                <w:numId w:val="2"/>
              </w:numPr>
              <w:rPr>
                <w:rFonts w:ascii="Arial" w:hAnsi="Arial" w:cs="Arial"/>
                <w:b/>
                <w:bCs/>
                <w:sz w:val="20"/>
                <w:szCs w:val="20"/>
              </w:rPr>
            </w:pPr>
            <w:r w:rsidRPr="34A06E58">
              <w:rPr>
                <w:rFonts w:ascii="Arial" w:hAnsi="Arial" w:cs="Arial"/>
                <w:b/>
                <w:bCs/>
                <w:sz w:val="20"/>
                <w:szCs w:val="20"/>
              </w:rPr>
              <w:t>Target (Outcome #1)</w:t>
            </w:r>
          </w:p>
          <w:p w14:paraId="20DCE7D2" w14:textId="1FD42442" w:rsidR="0089463B" w:rsidRPr="00003BD5" w:rsidRDefault="265C428D" w:rsidP="6193351C">
            <w:r w:rsidRPr="6193351C">
              <w:rPr>
                <w:sz w:val="20"/>
                <w:szCs w:val="20"/>
              </w:rPr>
              <w:t xml:space="preserve">75% of the students will score a minimum of 70% </w:t>
            </w:r>
          </w:p>
        </w:tc>
      </w:tr>
      <w:tr w:rsidR="0089463B" w14:paraId="3B06AC4E" w14:textId="77777777" w:rsidTr="6193351C">
        <w:trPr>
          <w:trHeight w:val="710"/>
        </w:trPr>
        <w:tc>
          <w:tcPr>
            <w:tcW w:w="13518" w:type="dxa"/>
            <w:gridSpan w:val="2"/>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49F25C91" w14:textId="77777777" w:rsidR="0089463B" w:rsidRPr="00003BD5" w:rsidRDefault="0089463B" w:rsidP="0089463B">
            <w:pPr>
              <w:pStyle w:val="NoSpacing"/>
              <w:numPr>
                <w:ilvl w:val="0"/>
                <w:numId w:val="2"/>
              </w:numPr>
              <w:rPr>
                <w:rFonts w:ascii="Arial" w:hAnsi="Arial" w:cs="Arial"/>
                <w:b/>
                <w:sz w:val="20"/>
                <w:szCs w:val="20"/>
              </w:rPr>
            </w:pPr>
            <w:r>
              <w:rPr>
                <w:rFonts w:ascii="Arial" w:hAnsi="Arial" w:cs="Arial"/>
                <w:b/>
                <w:sz w:val="20"/>
                <w:szCs w:val="20"/>
              </w:rPr>
              <w:t>Action Plan (Outcome</w:t>
            </w:r>
            <w:r w:rsidRPr="00003BD5">
              <w:rPr>
                <w:rFonts w:ascii="Arial" w:hAnsi="Arial" w:cs="Arial"/>
                <w:b/>
                <w:sz w:val="20"/>
                <w:szCs w:val="20"/>
              </w:rPr>
              <w:t xml:space="preserve"> #1</w:t>
            </w:r>
            <w:r>
              <w:rPr>
                <w:rFonts w:ascii="Arial" w:hAnsi="Arial" w:cs="Arial"/>
                <w:b/>
                <w:sz w:val="20"/>
                <w:szCs w:val="20"/>
              </w:rPr>
              <w:t>)</w:t>
            </w:r>
          </w:p>
          <w:p w14:paraId="71D6083B" w14:textId="092FF91F" w:rsidR="0089463B" w:rsidRPr="00003BD5" w:rsidRDefault="0089463B" w:rsidP="00F26DE3">
            <w:pPr>
              <w:pStyle w:val="NoSpacing"/>
              <w:rPr>
                <w:rFonts w:ascii="Arial" w:hAnsi="Arial" w:cs="Arial"/>
                <w:sz w:val="20"/>
                <w:szCs w:val="20"/>
              </w:rPr>
            </w:pPr>
            <w:r w:rsidRPr="6193351C">
              <w:rPr>
                <w:rFonts w:ascii="Arial" w:hAnsi="Arial" w:cs="Arial"/>
                <w:b/>
                <w:bCs/>
                <w:sz w:val="20"/>
                <w:szCs w:val="20"/>
              </w:rPr>
              <w:t xml:space="preserve"> </w:t>
            </w:r>
            <w:r w:rsidRPr="6193351C">
              <w:rPr>
                <w:rFonts w:ascii="Arial" w:hAnsi="Arial" w:cs="Arial"/>
                <w:sz w:val="20"/>
                <w:szCs w:val="20"/>
              </w:rPr>
              <w:t xml:space="preserve">Students will be tested </w:t>
            </w:r>
            <w:r w:rsidR="2C20515E" w:rsidRPr="6193351C">
              <w:rPr>
                <w:rFonts w:ascii="Arial" w:hAnsi="Arial" w:cs="Arial"/>
                <w:sz w:val="20"/>
                <w:szCs w:val="20"/>
              </w:rPr>
              <w:t>once per year in Music Theory IV MUSI 2312 which is offered in the spring semester of the academic year.</w:t>
            </w:r>
          </w:p>
        </w:tc>
      </w:tr>
      <w:tr w:rsidR="0089463B" w14:paraId="75BCE75C" w14:textId="77777777" w:rsidTr="6193351C">
        <w:trPr>
          <w:trHeight w:val="3806"/>
        </w:trPr>
        <w:tc>
          <w:tcPr>
            <w:tcW w:w="13518" w:type="dxa"/>
            <w:gridSpan w:val="2"/>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305E4461" w14:textId="47AD72DD" w:rsidR="0089463B" w:rsidRPr="00003BD5" w:rsidRDefault="0089463B" w:rsidP="193F59F7">
            <w:pPr>
              <w:pStyle w:val="NoSpacing"/>
              <w:numPr>
                <w:ilvl w:val="0"/>
                <w:numId w:val="2"/>
              </w:numPr>
              <w:rPr>
                <w:rFonts w:ascii="Arial" w:hAnsi="Arial" w:cs="Arial"/>
                <w:b/>
                <w:bCs/>
                <w:i/>
                <w:iCs/>
                <w:color w:val="000000" w:themeColor="text1"/>
                <w:sz w:val="20"/>
                <w:szCs w:val="20"/>
              </w:rPr>
            </w:pPr>
            <w:r w:rsidRPr="193F59F7">
              <w:rPr>
                <w:rFonts w:ascii="Arial" w:hAnsi="Arial" w:cs="Arial"/>
                <w:b/>
                <w:bCs/>
                <w:color w:val="000000" w:themeColor="text1"/>
                <w:sz w:val="20"/>
                <w:szCs w:val="20"/>
              </w:rPr>
              <w:lastRenderedPageBreak/>
              <w:t xml:space="preserve">Results Summary (Outcome #1) </w:t>
            </w:r>
          </w:p>
          <w:p w14:paraId="06B41681" w14:textId="68A98503" w:rsidR="0089463B" w:rsidRPr="00003BD5" w:rsidRDefault="0089463B" w:rsidP="193F59F7">
            <w:pPr>
              <w:pStyle w:val="NoSpacing"/>
              <w:rPr>
                <w:rFonts w:ascii="Arial" w:hAnsi="Arial" w:cs="Arial"/>
                <w:i/>
                <w:iCs/>
                <w:color w:val="FF0000"/>
                <w:sz w:val="20"/>
                <w:szCs w:val="20"/>
              </w:rPr>
            </w:pPr>
          </w:p>
          <w:p w14:paraId="16CD60DC" w14:textId="24DBBB7B" w:rsidR="0089463B" w:rsidRPr="00003BD5" w:rsidRDefault="6FF34AC8" w:rsidP="193F59F7">
            <w:pPr>
              <w:pStyle w:val="NoSpacing"/>
              <w:rPr>
                <w:rFonts w:ascii="Arial" w:hAnsi="Arial" w:cs="Arial"/>
                <w:i/>
                <w:iCs/>
                <w:color w:val="FF0000"/>
                <w:sz w:val="20"/>
                <w:szCs w:val="20"/>
              </w:rPr>
            </w:pPr>
            <w:r w:rsidRPr="193F59F7">
              <w:rPr>
                <w:rFonts w:ascii="Arial" w:hAnsi="Arial" w:cs="Arial"/>
                <w:i/>
                <w:iCs/>
                <w:color w:val="FF0000"/>
                <w:sz w:val="20"/>
                <w:szCs w:val="20"/>
              </w:rPr>
              <w:t>January 2020 data:</w:t>
            </w:r>
          </w:p>
          <w:p w14:paraId="1B1885AD" w14:textId="7BF6FFD7" w:rsidR="0089463B" w:rsidRPr="00003BD5" w:rsidRDefault="49AB64EB" w:rsidP="4043E2A9">
            <w:pPr>
              <w:pStyle w:val="NoSpacing"/>
              <w:rPr>
                <w:rFonts w:ascii="Arial" w:hAnsi="Arial" w:cs="Arial"/>
                <w:i/>
                <w:iCs/>
                <w:color w:val="FF0000"/>
                <w:sz w:val="20"/>
                <w:szCs w:val="20"/>
              </w:rPr>
            </w:pPr>
            <w:r w:rsidRPr="4043E2A9">
              <w:rPr>
                <w:rFonts w:ascii="Arial" w:hAnsi="Arial" w:cs="Arial"/>
                <w:i/>
                <w:iCs/>
                <w:color w:val="FF0000"/>
                <w:sz w:val="20"/>
                <w:szCs w:val="20"/>
              </w:rPr>
              <w:t>Out of</w:t>
            </w:r>
            <w:r w:rsidR="3BAD688E" w:rsidRPr="4043E2A9">
              <w:rPr>
                <w:rFonts w:ascii="Arial" w:hAnsi="Arial" w:cs="Arial"/>
                <w:i/>
                <w:iCs/>
                <w:color w:val="FF0000"/>
                <w:sz w:val="20"/>
                <w:szCs w:val="20"/>
              </w:rPr>
              <w:t xml:space="preserve"> </w:t>
            </w:r>
            <w:r w:rsidR="38F732F1" w:rsidRPr="4043E2A9">
              <w:rPr>
                <w:rFonts w:ascii="Arial" w:hAnsi="Arial" w:cs="Arial"/>
                <w:i/>
                <w:iCs/>
                <w:color w:val="FF0000"/>
                <w:sz w:val="20"/>
                <w:szCs w:val="20"/>
              </w:rPr>
              <w:t xml:space="preserve">the </w:t>
            </w:r>
            <w:r w:rsidR="3BAD688E" w:rsidRPr="4043E2A9">
              <w:rPr>
                <w:rFonts w:ascii="Arial" w:hAnsi="Arial" w:cs="Arial"/>
                <w:i/>
                <w:iCs/>
                <w:color w:val="FF0000"/>
                <w:sz w:val="20"/>
                <w:szCs w:val="20"/>
              </w:rPr>
              <w:t>16</w:t>
            </w:r>
            <w:r w:rsidRPr="4043E2A9">
              <w:rPr>
                <w:rFonts w:ascii="Arial" w:hAnsi="Arial" w:cs="Arial"/>
                <w:i/>
                <w:iCs/>
                <w:color w:val="FF0000"/>
                <w:sz w:val="20"/>
                <w:szCs w:val="20"/>
              </w:rPr>
              <w:t xml:space="preserve"> students in Theory 4 who took the Theory 3</w:t>
            </w:r>
            <w:r w:rsidR="33EBFF49" w:rsidRPr="4043E2A9">
              <w:rPr>
                <w:rFonts w:ascii="Arial" w:hAnsi="Arial" w:cs="Arial"/>
                <w:i/>
                <w:iCs/>
                <w:color w:val="FF0000"/>
                <w:sz w:val="20"/>
                <w:szCs w:val="20"/>
              </w:rPr>
              <w:t xml:space="preserve"> </w:t>
            </w:r>
            <w:r w:rsidRPr="4043E2A9">
              <w:rPr>
                <w:rFonts w:ascii="Arial" w:hAnsi="Arial" w:cs="Arial"/>
                <w:i/>
                <w:iCs/>
                <w:color w:val="FF0000"/>
                <w:sz w:val="20"/>
                <w:szCs w:val="20"/>
              </w:rPr>
              <w:t>Exam</w:t>
            </w:r>
            <w:r w:rsidR="6335244E" w:rsidRPr="4043E2A9">
              <w:rPr>
                <w:rFonts w:ascii="Arial" w:hAnsi="Arial" w:cs="Arial"/>
                <w:i/>
                <w:iCs/>
                <w:color w:val="FF0000"/>
                <w:sz w:val="20"/>
                <w:szCs w:val="20"/>
              </w:rPr>
              <w:t xml:space="preserve"> (part-writing</w:t>
            </w:r>
            <w:r w:rsidR="320E332E" w:rsidRPr="4043E2A9">
              <w:rPr>
                <w:rFonts w:ascii="Arial" w:hAnsi="Arial" w:cs="Arial"/>
                <w:i/>
                <w:iCs/>
                <w:color w:val="FF0000"/>
                <w:sz w:val="20"/>
                <w:szCs w:val="20"/>
              </w:rPr>
              <w:t xml:space="preserve"> portion</w:t>
            </w:r>
            <w:r w:rsidR="6335244E" w:rsidRPr="4043E2A9">
              <w:rPr>
                <w:rFonts w:ascii="Arial" w:hAnsi="Arial" w:cs="Arial"/>
                <w:i/>
                <w:iCs/>
                <w:color w:val="FF0000"/>
                <w:sz w:val="20"/>
                <w:szCs w:val="20"/>
              </w:rPr>
              <w:t>)</w:t>
            </w:r>
            <w:r w:rsidR="719DE9AE" w:rsidRPr="4043E2A9">
              <w:rPr>
                <w:rFonts w:ascii="Arial" w:hAnsi="Arial" w:cs="Arial"/>
                <w:i/>
                <w:iCs/>
                <w:color w:val="FF0000"/>
                <w:sz w:val="20"/>
                <w:szCs w:val="20"/>
              </w:rPr>
              <w:t>, the results were:</w:t>
            </w:r>
          </w:p>
          <w:p w14:paraId="1EAE4D2E" w14:textId="416C7265" w:rsidR="4043E2A9" w:rsidRDefault="4043E2A9" w:rsidP="4043E2A9">
            <w:pPr>
              <w:pStyle w:val="NoSpacing"/>
              <w:rPr>
                <w:rFonts w:ascii="Arial" w:hAnsi="Arial" w:cs="Arial"/>
                <w:i/>
                <w:iCs/>
                <w:color w:val="FF0000"/>
                <w:sz w:val="20"/>
                <w:szCs w:val="20"/>
              </w:rPr>
            </w:pPr>
          </w:p>
          <w:tbl>
            <w:tblPr>
              <w:tblStyle w:val="TableGrid"/>
              <w:tblW w:w="0" w:type="auto"/>
              <w:tblLayout w:type="fixed"/>
              <w:tblLook w:val="06A0" w:firstRow="1" w:lastRow="0" w:firstColumn="1" w:lastColumn="0" w:noHBand="1" w:noVBand="1"/>
            </w:tblPr>
            <w:tblGrid>
              <w:gridCol w:w="3090"/>
              <w:gridCol w:w="4140"/>
            </w:tblGrid>
            <w:tr w:rsidR="4043E2A9" w14:paraId="23C42EFC" w14:textId="77777777" w:rsidTr="4043E2A9">
              <w:tc>
                <w:tcPr>
                  <w:tcW w:w="3090" w:type="dxa"/>
                </w:tcPr>
                <w:p w14:paraId="2CFACCB2" w14:textId="4F61DDF9" w:rsidR="42F25FEA" w:rsidRDefault="42F25FEA" w:rsidP="4043E2A9">
                  <w:pPr>
                    <w:pStyle w:val="NoSpacing"/>
                    <w:rPr>
                      <w:rFonts w:ascii="Arial" w:hAnsi="Arial" w:cs="Arial"/>
                      <w:i/>
                      <w:iCs/>
                      <w:color w:val="FF0000"/>
                      <w:sz w:val="20"/>
                      <w:szCs w:val="20"/>
                    </w:rPr>
                  </w:pPr>
                  <w:r w:rsidRPr="4043E2A9">
                    <w:rPr>
                      <w:rFonts w:ascii="Arial" w:hAnsi="Arial" w:cs="Arial"/>
                      <w:i/>
                      <w:iCs/>
                      <w:color w:val="FF0000"/>
                      <w:sz w:val="20"/>
                      <w:szCs w:val="20"/>
                    </w:rPr>
                    <w:t>Number of Students</w:t>
                  </w:r>
                </w:p>
              </w:tc>
              <w:tc>
                <w:tcPr>
                  <w:tcW w:w="4140" w:type="dxa"/>
                </w:tcPr>
                <w:p w14:paraId="6C657F5C" w14:textId="6E0C4BB6" w:rsidR="42F25FEA" w:rsidRDefault="42F25FEA" w:rsidP="4043E2A9">
                  <w:pPr>
                    <w:pStyle w:val="NoSpacing"/>
                    <w:rPr>
                      <w:rFonts w:ascii="Arial" w:hAnsi="Arial" w:cs="Arial"/>
                      <w:i/>
                      <w:iCs/>
                      <w:color w:val="FF0000"/>
                      <w:sz w:val="20"/>
                      <w:szCs w:val="20"/>
                    </w:rPr>
                  </w:pPr>
                  <w:r w:rsidRPr="4043E2A9">
                    <w:rPr>
                      <w:rFonts w:ascii="Arial" w:hAnsi="Arial" w:cs="Arial"/>
                      <w:i/>
                      <w:iCs/>
                      <w:color w:val="FF0000"/>
                      <w:sz w:val="20"/>
                      <w:szCs w:val="20"/>
                    </w:rPr>
                    <w:t>Grade</w:t>
                  </w:r>
                </w:p>
              </w:tc>
            </w:tr>
            <w:tr w:rsidR="4043E2A9" w14:paraId="048280E2" w14:textId="77777777" w:rsidTr="4043E2A9">
              <w:tc>
                <w:tcPr>
                  <w:tcW w:w="3090" w:type="dxa"/>
                </w:tcPr>
                <w:p w14:paraId="54768CCC" w14:textId="0BA9DA1C" w:rsidR="42F25FEA" w:rsidRDefault="42F25FEA" w:rsidP="4043E2A9">
                  <w:pPr>
                    <w:pStyle w:val="NoSpacing"/>
                    <w:rPr>
                      <w:rFonts w:ascii="Arial" w:hAnsi="Arial" w:cs="Arial"/>
                      <w:i/>
                      <w:iCs/>
                      <w:color w:val="FF0000"/>
                      <w:sz w:val="20"/>
                      <w:szCs w:val="20"/>
                    </w:rPr>
                  </w:pPr>
                  <w:r w:rsidRPr="4043E2A9">
                    <w:rPr>
                      <w:rFonts w:ascii="Arial" w:hAnsi="Arial" w:cs="Arial"/>
                      <w:i/>
                      <w:iCs/>
                      <w:color w:val="FF0000"/>
                      <w:sz w:val="20"/>
                      <w:szCs w:val="20"/>
                    </w:rPr>
                    <w:t>9</w:t>
                  </w:r>
                </w:p>
              </w:tc>
              <w:tc>
                <w:tcPr>
                  <w:tcW w:w="4140" w:type="dxa"/>
                </w:tcPr>
                <w:p w14:paraId="32196EF6" w14:textId="0E9959AE" w:rsidR="42F25FEA" w:rsidRDefault="42F25FEA" w:rsidP="4043E2A9">
                  <w:pPr>
                    <w:pStyle w:val="NoSpacing"/>
                    <w:rPr>
                      <w:rFonts w:ascii="Arial" w:hAnsi="Arial" w:cs="Arial"/>
                      <w:i/>
                      <w:iCs/>
                      <w:color w:val="FF0000"/>
                      <w:sz w:val="20"/>
                      <w:szCs w:val="20"/>
                    </w:rPr>
                  </w:pPr>
                  <w:r w:rsidRPr="4043E2A9">
                    <w:rPr>
                      <w:rFonts w:ascii="Arial" w:hAnsi="Arial" w:cs="Arial"/>
                      <w:i/>
                      <w:iCs/>
                      <w:color w:val="FF0000"/>
                      <w:sz w:val="20"/>
                      <w:szCs w:val="20"/>
                    </w:rPr>
                    <w:t>85% or above</w:t>
                  </w:r>
                </w:p>
              </w:tc>
            </w:tr>
            <w:tr w:rsidR="4043E2A9" w14:paraId="623D744F" w14:textId="77777777" w:rsidTr="4043E2A9">
              <w:tc>
                <w:tcPr>
                  <w:tcW w:w="3090" w:type="dxa"/>
                </w:tcPr>
                <w:p w14:paraId="03DE9DDB" w14:textId="3AB05B41" w:rsidR="42F25FEA" w:rsidRDefault="42F25FEA" w:rsidP="4043E2A9">
                  <w:pPr>
                    <w:pStyle w:val="NoSpacing"/>
                    <w:rPr>
                      <w:rFonts w:ascii="Arial" w:hAnsi="Arial" w:cs="Arial"/>
                      <w:i/>
                      <w:iCs/>
                      <w:color w:val="FF0000"/>
                      <w:sz w:val="20"/>
                      <w:szCs w:val="20"/>
                    </w:rPr>
                  </w:pPr>
                  <w:r w:rsidRPr="4043E2A9">
                    <w:rPr>
                      <w:rFonts w:ascii="Arial" w:hAnsi="Arial" w:cs="Arial"/>
                      <w:i/>
                      <w:iCs/>
                      <w:color w:val="FF0000"/>
                      <w:sz w:val="20"/>
                      <w:szCs w:val="20"/>
                    </w:rPr>
                    <w:t>5</w:t>
                  </w:r>
                </w:p>
              </w:tc>
              <w:tc>
                <w:tcPr>
                  <w:tcW w:w="4140" w:type="dxa"/>
                </w:tcPr>
                <w:p w14:paraId="5E10FE9B" w14:textId="76E313D1" w:rsidR="42F25FEA" w:rsidRDefault="42F25FEA" w:rsidP="4043E2A9">
                  <w:pPr>
                    <w:pStyle w:val="NoSpacing"/>
                    <w:rPr>
                      <w:rFonts w:ascii="Arial" w:hAnsi="Arial" w:cs="Arial"/>
                      <w:i/>
                      <w:iCs/>
                      <w:color w:val="FF0000"/>
                      <w:sz w:val="20"/>
                      <w:szCs w:val="20"/>
                    </w:rPr>
                  </w:pPr>
                  <w:r w:rsidRPr="4043E2A9">
                    <w:rPr>
                      <w:rFonts w:ascii="Arial" w:hAnsi="Arial" w:cs="Arial"/>
                      <w:i/>
                      <w:iCs/>
                      <w:color w:val="FF0000"/>
                      <w:sz w:val="20"/>
                      <w:szCs w:val="20"/>
                    </w:rPr>
                    <w:t>70-84%</w:t>
                  </w:r>
                </w:p>
              </w:tc>
            </w:tr>
            <w:tr w:rsidR="4043E2A9" w14:paraId="27772972" w14:textId="77777777" w:rsidTr="4043E2A9">
              <w:trPr>
                <w:trHeight w:val="300"/>
              </w:trPr>
              <w:tc>
                <w:tcPr>
                  <w:tcW w:w="3090" w:type="dxa"/>
                </w:tcPr>
                <w:p w14:paraId="268F2CC5" w14:textId="2D42C646" w:rsidR="42F25FEA" w:rsidRDefault="42F25FEA" w:rsidP="4043E2A9">
                  <w:pPr>
                    <w:pStyle w:val="NoSpacing"/>
                    <w:rPr>
                      <w:rFonts w:ascii="Arial" w:hAnsi="Arial" w:cs="Arial"/>
                      <w:i/>
                      <w:iCs/>
                      <w:color w:val="FF0000"/>
                      <w:sz w:val="20"/>
                      <w:szCs w:val="20"/>
                    </w:rPr>
                  </w:pPr>
                  <w:r w:rsidRPr="4043E2A9">
                    <w:rPr>
                      <w:rFonts w:ascii="Arial" w:hAnsi="Arial" w:cs="Arial"/>
                      <w:i/>
                      <w:iCs/>
                      <w:color w:val="FF0000"/>
                      <w:sz w:val="20"/>
                      <w:szCs w:val="20"/>
                    </w:rPr>
                    <w:t>2</w:t>
                  </w:r>
                </w:p>
              </w:tc>
              <w:tc>
                <w:tcPr>
                  <w:tcW w:w="4140" w:type="dxa"/>
                </w:tcPr>
                <w:p w14:paraId="1C18D270" w14:textId="0A11B849" w:rsidR="42F25FEA" w:rsidRDefault="42F25FEA" w:rsidP="4043E2A9">
                  <w:pPr>
                    <w:pStyle w:val="NoSpacing"/>
                    <w:rPr>
                      <w:rFonts w:ascii="Arial" w:hAnsi="Arial" w:cs="Arial"/>
                      <w:i/>
                      <w:iCs/>
                      <w:color w:val="FF0000"/>
                      <w:sz w:val="20"/>
                      <w:szCs w:val="20"/>
                    </w:rPr>
                  </w:pPr>
                  <w:r w:rsidRPr="4043E2A9">
                    <w:rPr>
                      <w:rFonts w:ascii="Arial" w:hAnsi="Arial" w:cs="Arial"/>
                      <w:i/>
                      <w:iCs/>
                      <w:color w:val="FF0000"/>
                      <w:sz w:val="20"/>
                      <w:szCs w:val="20"/>
                    </w:rPr>
                    <w:t>69% and below</w:t>
                  </w:r>
                </w:p>
              </w:tc>
            </w:tr>
          </w:tbl>
          <w:p w14:paraId="36D3ACCB" w14:textId="31F54972" w:rsidR="4043E2A9" w:rsidRDefault="4043E2A9" w:rsidP="4043E2A9">
            <w:pPr>
              <w:pStyle w:val="NoSpacing"/>
              <w:rPr>
                <w:rFonts w:ascii="Arial" w:hAnsi="Arial" w:cs="Arial"/>
                <w:i/>
                <w:iCs/>
                <w:color w:val="FF0000"/>
                <w:sz w:val="20"/>
                <w:szCs w:val="20"/>
              </w:rPr>
            </w:pPr>
          </w:p>
          <w:p w14:paraId="58A4184A" w14:textId="1A6037E7" w:rsidR="0089463B" w:rsidRPr="00003BD5" w:rsidRDefault="42FCC2BB" w:rsidP="193F59F7">
            <w:pPr>
              <w:pStyle w:val="NoSpacing"/>
              <w:rPr>
                <w:rFonts w:ascii="Arial" w:hAnsi="Arial" w:cs="Arial"/>
                <w:i/>
                <w:iCs/>
                <w:color w:val="FF0000"/>
                <w:sz w:val="20"/>
                <w:szCs w:val="20"/>
              </w:rPr>
            </w:pPr>
            <w:r w:rsidRPr="193F59F7">
              <w:rPr>
                <w:rFonts w:ascii="Arial" w:hAnsi="Arial" w:cs="Arial"/>
                <w:i/>
                <w:iCs/>
                <w:color w:val="FF0000"/>
                <w:sz w:val="20"/>
                <w:szCs w:val="20"/>
              </w:rPr>
              <w:t>January 2021 data:</w:t>
            </w:r>
          </w:p>
          <w:p w14:paraId="3C311418" w14:textId="4BE59A27" w:rsidR="0089463B" w:rsidRPr="00003BD5" w:rsidRDefault="49D221C9" w:rsidP="4043E2A9">
            <w:pPr>
              <w:pStyle w:val="NoSpacing"/>
              <w:rPr>
                <w:rFonts w:ascii="Arial" w:hAnsi="Arial" w:cs="Arial"/>
                <w:i/>
                <w:iCs/>
                <w:color w:val="FF0000"/>
                <w:sz w:val="20"/>
                <w:szCs w:val="20"/>
              </w:rPr>
            </w:pPr>
            <w:r w:rsidRPr="4043E2A9">
              <w:rPr>
                <w:rFonts w:ascii="Arial" w:hAnsi="Arial" w:cs="Arial"/>
                <w:i/>
                <w:iCs/>
                <w:color w:val="FF0000"/>
                <w:sz w:val="20"/>
                <w:szCs w:val="20"/>
              </w:rPr>
              <w:t xml:space="preserve">Out of the 14 students </w:t>
            </w:r>
            <w:r w:rsidR="622704C8" w:rsidRPr="4043E2A9">
              <w:rPr>
                <w:rFonts w:ascii="Arial" w:hAnsi="Arial" w:cs="Arial"/>
                <w:i/>
                <w:iCs/>
                <w:color w:val="FF0000"/>
                <w:sz w:val="20"/>
                <w:szCs w:val="20"/>
              </w:rPr>
              <w:t>i</w:t>
            </w:r>
            <w:r w:rsidRPr="4043E2A9">
              <w:rPr>
                <w:rFonts w:ascii="Arial" w:hAnsi="Arial" w:cs="Arial"/>
                <w:i/>
                <w:iCs/>
                <w:color w:val="FF0000"/>
                <w:sz w:val="20"/>
                <w:szCs w:val="20"/>
              </w:rPr>
              <w:t>n Theory 4 who took the Theory 3</w:t>
            </w:r>
            <w:r w:rsidR="3D0DFCFE" w:rsidRPr="4043E2A9">
              <w:rPr>
                <w:rFonts w:ascii="Arial" w:hAnsi="Arial" w:cs="Arial"/>
                <w:i/>
                <w:iCs/>
                <w:color w:val="FF0000"/>
                <w:sz w:val="20"/>
                <w:szCs w:val="20"/>
              </w:rPr>
              <w:t xml:space="preserve"> </w:t>
            </w:r>
            <w:r w:rsidRPr="4043E2A9">
              <w:rPr>
                <w:rFonts w:ascii="Arial" w:hAnsi="Arial" w:cs="Arial"/>
                <w:i/>
                <w:iCs/>
                <w:color w:val="FF0000"/>
                <w:sz w:val="20"/>
                <w:szCs w:val="20"/>
              </w:rPr>
              <w:t>Ex</w:t>
            </w:r>
            <w:r w:rsidR="4AD84A27" w:rsidRPr="4043E2A9">
              <w:rPr>
                <w:rFonts w:ascii="Arial" w:hAnsi="Arial" w:cs="Arial"/>
                <w:i/>
                <w:iCs/>
                <w:color w:val="FF0000"/>
                <w:sz w:val="20"/>
                <w:szCs w:val="20"/>
              </w:rPr>
              <w:t>am (part-writing portion)</w:t>
            </w:r>
            <w:r w:rsidR="1639A703" w:rsidRPr="4043E2A9">
              <w:rPr>
                <w:rFonts w:ascii="Arial" w:hAnsi="Arial" w:cs="Arial"/>
                <w:i/>
                <w:iCs/>
                <w:color w:val="FF0000"/>
                <w:sz w:val="20"/>
                <w:szCs w:val="20"/>
              </w:rPr>
              <w:t>, the results were:</w:t>
            </w:r>
          </w:p>
          <w:p w14:paraId="3DABC4D3" w14:textId="10CED77D" w:rsidR="4043E2A9" w:rsidRDefault="4043E2A9" w:rsidP="4043E2A9">
            <w:pPr>
              <w:pStyle w:val="NoSpacing"/>
              <w:rPr>
                <w:rFonts w:ascii="Arial" w:hAnsi="Arial" w:cs="Arial"/>
                <w:i/>
                <w:iCs/>
                <w:color w:val="FF0000"/>
                <w:sz w:val="20"/>
                <w:szCs w:val="20"/>
              </w:rPr>
            </w:pPr>
          </w:p>
          <w:tbl>
            <w:tblPr>
              <w:tblStyle w:val="TableGrid"/>
              <w:tblW w:w="0" w:type="auto"/>
              <w:tblLayout w:type="fixed"/>
              <w:tblLook w:val="06A0" w:firstRow="1" w:lastRow="0" w:firstColumn="1" w:lastColumn="0" w:noHBand="1" w:noVBand="1"/>
            </w:tblPr>
            <w:tblGrid>
              <w:gridCol w:w="3000"/>
              <w:gridCol w:w="4260"/>
            </w:tblGrid>
            <w:tr w:rsidR="4043E2A9" w14:paraId="47775623" w14:textId="77777777" w:rsidTr="4043E2A9">
              <w:tc>
                <w:tcPr>
                  <w:tcW w:w="3000" w:type="dxa"/>
                </w:tcPr>
                <w:p w14:paraId="49CC03E9" w14:textId="4F61DDF9" w:rsidR="4043E2A9" w:rsidRDefault="4043E2A9" w:rsidP="4043E2A9">
                  <w:pPr>
                    <w:pStyle w:val="NoSpacing"/>
                    <w:rPr>
                      <w:rFonts w:ascii="Arial" w:hAnsi="Arial" w:cs="Arial"/>
                      <w:i/>
                      <w:iCs/>
                      <w:color w:val="FF0000"/>
                      <w:sz w:val="20"/>
                      <w:szCs w:val="20"/>
                    </w:rPr>
                  </w:pPr>
                  <w:r w:rsidRPr="4043E2A9">
                    <w:rPr>
                      <w:rFonts w:ascii="Arial" w:hAnsi="Arial" w:cs="Arial"/>
                      <w:i/>
                      <w:iCs/>
                      <w:color w:val="FF0000"/>
                      <w:sz w:val="20"/>
                      <w:szCs w:val="20"/>
                    </w:rPr>
                    <w:t>Number of Students</w:t>
                  </w:r>
                </w:p>
              </w:tc>
              <w:tc>
                <w:tcPr>
                  <w:tcW w:w="4260" w:type="dxa"/>
                </w:tcPr>
                <w:p w14:paraId="42D26532" w14:textId="6E0C4BB6" w:rsidR="4043E2A9" w:rsidRDefault="4043E2A9" w:rsidP="4043E2A9">
                  <w:pPr>
                    <w:pStyle w:val="NoSpacing"/>
                    <w:rPr>
                      <w:rFonts w:ascii="Arial" w:hAnsi="Arial" w:cs="Arial"/>
                      <w:i/>
                      <w:iCs/>
                      <w:color w:val="FF0000"/>
                      <w:sz w:val="20"/>
                      <w:szCs w:val="20"/>
                    </w:rPr>
                  </w:pPr>
                  <w:r w:rsidRPr="4043E2A9">
                    <w:rPr>
                      <w:rFonts w:ascii="Arial" w:hAnsi="Arial" w:cs="Arial"/>
                      <w:i/>
                      <w:iCs/>
                      <w:color w:val="FF0000"/>
                      <w:sz w:val="20"/>
                      <w:szCs w:val="20"/>
                    </w:rPr>
                    <w:t>Grade</w:t>
                  </w:r>
                </w:p>
              </w:tc>
            </w:tr>
            <w:tr w:rsidR="4043E2A9" w14:paraId="219435EB" w14:textId="77777777" w:rsidTr="4043E2A9">
              <w:tc>
                <w:tcPr>
                  <w:tcW w:w="3000" w:type="dxa"/>
                </w:tcPr>
                <w:p w14:paraId="62F4AE7B" w14:textId="25A21BC5" w:rsidR="291A3191" w:rsidRDefault="291A3191" w:rsidP="4043E2A9">
                  <w:pPr>
                    <w:pStyle w:val="NoSpacing"/>
                    <w:rPr>
                      <w:rFonts w:ascii="Arial" w:hAnsi="Arial" w:cs="Arial"/>
                      <w:i/>
                      <w:iCs/>
                      <w:color w:val="FF0000"/>
                      <w:sz w:val="20"/>
                      <w:szCs w:val="20"/>
                    </w:rPr>
                  </w:pPr>
                  <w:r w:rsidRPr="4043E2A9">
                    <w:rPr>
                      <w:rFonts w:ascii="Arial" w:hAnsi="Arial" w:cs="Arial"/>
                      <w:i/>
                      <w:iCs/>
                      <w:color w:val="FF0000"/>
                      <w:sz w:val="20"/>
                      <w:szCs w:val="20"/>
                    </w:rPr>
                    <w:t>6</w:t>
                  </w:r>
                </w:p>
              </w:tc>
              <w:tc>
                <w:tcPr>
                  <w:tcW w:w="4260" w:type="dxa"/>
                </w:tcPr>
                <w:p w14:paraId="7A5BC35A" w14:textId="09305256" w:rsidR="291A3191" w:rsidRDefault="291A3191" w:rsidP="4043E2A9">
                  <w:pPr>
                    <w:pStyle w:val="NoSpacing"/>
                    <w:rPr>
                      <w:rFonts w:ascii="Arial" w:hAnsi="Arial" w:cs="Arial"/>
                      <w:i/>
                      <w:iCs/>
                      <w:color w:val="FF0000"/>
                      <w:sz w:val="20"/>
                      <w:szCs w:val="20"/>
                    </w:rPr>
                  </w:pPr>
                  <w:r w:rsidRPr="4043E2A9">
                    <w:rPr>
                      <w:rFonts w:ascii="Arial" w:hAnsi="Arial" w:cs="Arial"/>
                      <w:i/>
                      <w:iCs/>
                      <w:color w:val="FF0000"/>
                      <w:sz w:val="20"/>
                      <w:szCs w:val="20"/>
                    </w:rPr>
                    <w:t>85% or above</w:t>
                  </w:r>
                </w:p>
              </w:tc>
            </w:tr>
            <w:tr w:rsidR="4043E2A9" w14:paraId="0362B6F9" w14:textId="77777777" w:rsidTr="4043E2A9">
              <w:trPr>
                <w:trHeight w:val="390"/>
              </w:trPr>
              <w:tc>
                <w:tcPr>
                  <w:tcW w:w="3000" w:type="dxa"/>
                </w:tcPr>
                <w:p w14:paraId="55001411" w14:textId="1E5BA392" w:rsidR="291A3191" w:rsidRDefault="291A3191" w:rsidP="4043E2A9">
                  <w:pPr>
                    <w:pStyle w:val="NoSpacing"/>
                    <w:rPr>
                      <w:rFonts w:ascii="Arial" w:hAnsi="Arial" w:cs="Arial"/>
                      <w:i/>
                      <w:iCs/>
                      <w:color w:val="FF0000"/>
                      <w:sz w:val="20"/>
                      <w:szCs w:val="20"/>
                    </w:rPr>
                  </w:pPr>
                  <w:r w:rsidRPr="4043E2A9">
                    <w:rPr>
                      <w:rFonts w:ascii="Arial" w:hAnsi="Arial" w:cs="Arial"/>
                      <w:i/>
                      <w:iCs/>
                      <w:color w:val="FF0000"/>
                      <w:sz w:val="20"/>
                      <w:szCs w:val="20"/>
                    </w:rPr>
                    <w:t>4</w:t>
                  </w:r>
                </w:p>
              </w:tc>
              <w:tc>
                <w:tcPr>
                  <w:tcW w:w="4260" w:type="dxa"/>
                </w:tcPr>
                <w:p w14:paraId="471A893A" w14:textId="3058B76B" w:rsidR="291A3191" w:rsidRDefault="291A3191" w:rsidP="4043E2A9">
                  <w:pPr>
                    <w:pStyle w:val="NoSpacing"/>
                    <w:rPr>
                      <w:rFonts w:ascii="Arial" w:hAnsi="Arial" w:cs="Arial"/>
                      <w:i/>
                      <w:iCs/>
                      <w:color w:val="FF0000"/>
                      <w:sz w:val="20"/>
                      <w:szCs w:val="20"/>
                    </w:rPr>
                  </w:pPr>
                  <w:r w:rsidRPr="4043E2A9">
                    <w:rPr>
                      <w:rFonts w:ascii="Arial" w:hAnsi="Arial" w:cs="Arial"/>
                      <w:i/>
                      <w:iCs/>
                      <w:color w:val="FF0000"/>
                      <w:sz w:val="20"/>
                      <w:szCs w:val="20"/>
                    </w:rPr>
                    <w:t>70-84%</w:t>
                  </w:r>
                </w:p>
              </w:tc>
            </w:tr>
            <w:tr w:rsidR="4043E2A9" w14:paraId="5A76BFAF" w14:textId="77777777" w:rsidTr="4043E2A9">
              <w:tc>
                <w:tcPr>
                  <w:tcW w:w="3000" w:type="dxa"/>
                </w:tcPr>
                <w:p w14:paraId="79DE57F7" w14:textId="4D6E601D" w:rsidR="291A3191" w:rsidRDefault="291A3191" w:rsidP="4043E2A9">
                  <w:pPr>
                    <w:pStyle w:val="NoSpacing"/>
                    <w:rPr>
                      <w:rFonts w:ascii="Arial" w:hAnsi="Arial" w:cs="Arial"/>
                      <w:i/>
                      <w:iCs/>
                      <w:color w:val="FF0000"/>
                      <w:sz w:val="20"/>
                      <w:szCs w:val="20"/>
                    </w:rPr>
                  </w:pPr>
                  <w:r w:rsidRPr="4043E2A9">
                    <w:rPr>
                      <w:rFonts w:ascii="Arial" w:hAnsi="Arial" w:cs="Arial"/>
                      <w:i/>
                      <w:iCs/>
                      <w:color w:val="FF0000"/>
                      <w:sz w:val="20"/>
                      <w:szCs w:val="20"/>
                    </w:rPr>
                    <w:t>4</w:t>
                  </w:r>
                </w:p>
              </w:tc>
              <w:tc>
                <w:tcPr>
                  <w:tcW w:w="4260" w:type="dxa"/>
                </w:tcPr>
                <w:p w14:paraId="1044268D" w14:textId="3D955815" w:rsidR="291A3191" w:rsidRDefault="291A3191" w:rsidP="4043E2A9">
                  <w:pPr>
                    <w:pStyle w:val="NoSpacing"/>
                    <w:rPr>
                      <w:rFonts w:ascii="Arial" w:hAnsi="Arial" w:cs="Arial"/>
                      <w:sz w:val="20"/>
                      <w:szCs w:val="20"/>
                    </w:rPr>
                  </w:pPr>
                  <w:r w:rsidRPr="4043E2A9">
                    <w:rPr>
                      <w:rFonts w:ascii="Arial" w:hAnsi="Arial" w:cs="Arial"/>
                      <w:i/>
                      <w:iCs/>
                      <w:color w:val="FF0000"/>
                      <w:sz w:val="20"/>
                      <w:szCs w:val="20"/>
                    </w:rPr>
                    <w:t>69% and below</w:t>
                  </w:r>
                </w:p>
              </w:tc>
            </w:tr>
          </w:tbl>
          <w:p w14:paraId="7BC32D67" w14:textId="1A94A83B" w:rsidR="0089463B" w:rsidRPr="00003BD5" w:rsidRDefault="0089463B" w:rsidP="4043E2A9">
            <w:pPr>
              <w:pStyle w:val="NoSpacing"/>
              <w:rPr>
                <w:rFonts w:ascii="Arial" w:hAnsi="Arial" w:cs="Arial"/>
                <w:i/>
                <w:iCs/>
                <w:color w:val="FF0000"/>
                <w:sz w:val="20"/>
                <w:szCs w:val="20"/>
              </w:rPr>
            </w:pPr>
          </w:p>
          <w:p w14:paraId="304582EF" w14:textId="2903A3D3" w:rsidR="0089463B" w:rsidRPr="00003BD5" w:rsidRDefault="0089463B" w:rsidP="193F59F7">
            <w:pPr>
              <w:pStyle w:val="NoSpacing"/>
              <w:rPr>
                <w:rFonts w:ascii="Arial" w:hAnsi="Arial" w:cs="Arial"/>
                <w:b/>
                <w:bCs/>
                <w:i/>
                <w:iCs/>
                <w:color w:val="FF0000"/>
                <w:sz w:val="20"/>
                <w:szCs w:val="20"/>
              </w:rPr>
            </w:pPr>
          </w:p>
        </w:tc>
      </w:tr>
      <w:tr w:rsidR="0089463B" w14:paraId="1C618A0A" w14:textId="77777777" w:rsidTr="6193351C">
        <w:trPr>
          <w:trHeight w:val="710"/>
        </w:trPr>
        <w:tc>
          <w:tcPr>
            <w:tcW w:w="13518" w:type="dxa"/>
            <w:gridSpan w:val="2"/>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4521A43C" w14:textId="24B977EA" w:rsidR="0089463B" w:rsidRPr="00003BD5" w:rsidRDefault="0089463B" w:rsidP="193F59F7">
            <w:pPr>
              <w:pStyle w:val="NoSpacing"/>
              <w:numPr>
                <w:ilvl w:val="0"/>
                <w:numId w:val="2"/>
              </w:numPr>
              <w:rPr>
                <w:rFonts w:eastAsiaTheme="minorEastAsia"/>
                <w:b/>
                <w:bCs/>
                <w:sz w:val="20"/>
                <w:szCs w:val="20"/>
              </w:rPr>
            </w:pPr>
            <w:r w:rsidRPr="193F59F7">
              <w:rPr>
                <w:rFonts w:ascii="Arial" w:hAnsi="Arial" w:cs="Arial"/>
                <w:b/>
                <w:bCs/>
                <w:sz w:val="20"/>
                <w:szCs w:val="20"/>
              </w:rPr>
              <w:t xml:space="preserve">Findings (Outcome #1) </w:t>
            </w:r>
          </w:p>
          <w:p w14:paraId="343A680B" w14:textId="3714CE83" w:rsidR="0089463B" w:rsidRPr="00003BD5" w:rsidRDefault="0089463B" w:rsidP="193F59F7">
            <w:pPr>
              <w:pStyle w:val="NoSpacing"/>
              <w:rPr>
                <w:rFonts w:ascii="Arial" w:eastAsia="Arial" w:hAnsi="Arial" w:cs="Arial"/>
                <w:color w:val="FF0000"/>
              </w:rPr>
            </w:pPr>
          </w:p>
          <w:p w14:paraId="7098E224" w14:textId="4995A8DE" w:rsidR="0089463B" w:rsidRPr="00003BD5" w:rsidRDefault="66D9F3A9" w:rsidP="6193351C">
            <w:pPr>
              <w:pStyle w:val="NoSpacing"/>
              <w:rPr>
                <w:rFonts w:ascii="Arial" w:eastAsia="Arial" w:hAnsi="Arial" w:cs="Arial"/>
                <w:color w:val="FF0000"/>
              </w:rPr>
            </w:pPr>
            <w:r w:rsidRPr="6193351C">
              <w:rPr>
                <w:rFonts w:ascii="Arial" w:eastAsia="Arial" w:hAnsi="Arial" w:cs="Arial"/>
                <w:color w:val="FF0000"/>
              </w:rPr>
              <w:t>To test these finding in Year 1 (2019-2020), students were given approximately 50% fewer part-writing practices and those findings demonstrate that students did not perform as well.  Additional factors could have been due to COVID-19 and distance learning challenges.</w:t>
            </w:r>
          </w:p>
          <w:p w14:paraId="2AB27C91" w14:textId="03D97D72" w:rsidR="0089463B" w:rsidRPr="00003BD5" w:rsidRDefault="0089463B" w:rsidP="6193351C">
            <w:pPr>
              <w:pStyle w:val="NoSpacing"/>
              <w:rPr>
                <w:rFonts w:ascii="Arial" w:eastAsia="Arial" w:hAnsi="Arial" w:cs="Arial"/>
                <w:color w:val="FF0000"/>
              </w:rPr>
            </w:pPr>
          </w:p>
        </w:tc>
      </w:tr>
      <w:tr w:rsidR="0089463B" w14:paraId="48DA8159" w14:textId="77777777" w:rsidTr="6193351C">
        <w:trPr>
          <w:trHeight w:val="1275"/>
        </w:trPr>
        <w:tc>
          <w:tcPr>
            <w:tcW w:w="13518" w:type="dxa"/>
            <w:gridSpan w:val="2"/>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64F9606C" w14:textId="2EAD0926" w:rsidR="0089463B" w:rsidRPr="00003BD5" w:rsidRDefault="0089463B" w:rsidP="193F59F7">
            <w:pPr>
              <w:pStyle w:val="NoSpacing"/>
              <w:numPr>
                <w:ilvl w:val="0"/>
                <w:numId w:val="2"/>
              </w:numPr>
              <w:rPr>
                <w:rFonts w:ascii="Arial" w:hAnsi="Arial" w:cs="Arial"/>
                <w:b/>
                <w:bCs/>
                <w:sz w:val="20"/>
                <w:szCs w:val="20"/>
              </w:rPr>
            </w:pPr>
            <w:r w:rsidRPr="193F59F7">
              <w:rPr>
                <w:rFonts w:ascii="Arial" w:hAnsi="Arial" w:cs="Arial"/>
                <w:b/>
                <w:bCs/>
                <w:sz w:val="20"/>
                <w:szCs w:val="20"/>
              </w:rPr>
              <w:t xml:space="preserve">Implementation of Findings (Outcome #1) </w:t>
            </w:r>
          </w:p>
          <w:p w14:paraId="1E7CEE18" w14:textId="5BC3129C" w:rsidR="193F59F7" w:rsidRDefault="193F59F7" w:rsidP="193F59F7">
            <w:pPr>
              <w:pStyle w:val="NoSpacing"/>
              <w:rPr>
                <w:rFonts w:ascii="Arial" w:eastAsia="Arial" w:hAnsi="Arial" w:cs="Arial"/>
              </w:rPr>
            </w:pPr>
          </w:p>
          <w:p w14:paraId="58A1AFB6" w14:textId="565AF251" w:rsidR="0089463B" w:rsidRPr="00003BD5" w:rsidRDefault="2F64399C" w:rsidP="6193351C">
            <w:pPr>
              <w:pStyle w:val="NoSpacing"/>
              <w:rPr>
                <w:rFonts w:ascii="Arial" w:eastAsia="Arial" w:hAnsi="Arial" w:cs="Arial"/>
                <w:color w:val="FF0000"/>
              </w:rPr>
            </w:pPr>
            <w:r w:rsidRPr="6193351C">
              <w:rPr>
                <w:rFonts w:ascii="Arial" w:eastAsia="Arial" w:hAnsi="Arial" w:cs="Arial"/>
                <w:color w:val="FF0000"/>
              </w:rPr>
              <w:t>Based on research conducted before choosing this CIP, it was determined that students would need additional practice opportunities due to the timing of course material.  As a result, students were given weekly part-writing practice. These students were very prepared for the final exam in part-writing, as well as the Theory Proficiency Exam Practice that was given in January.</w:t>
            </w:r>
          </w:p>
          <w:p w14:paraId="4DF4F151" w14:textId="1D0FF322" w:rsidR="0089463B" w:rsidRPr="00003BD5" w:rsidRDefault="0089463B" w:rsidP="6193351C">
            <w:pPr>
              <w:pStyle w:val="NoSpacing"/>
              <w:rPr>
                <w:rFonts w:ascii="Arial" w:eastAsia="Arial" w:hAnsi="Arial" w:cs="Arial"/>
                <w:color w:val="FF0000"/>
              </w:rPr>
            </w:pPr>
          </w:p>
        </w:tc>
      </w:tr>
    </w:tbl>
    <w:p w14:paraId="01A113C5" w14:textId="77777777" w:rsidR="0089463B" w:rsidRDefault="0089463B" w:rsidP="0089463B">
      <w:pPr>
        <w:pStyle w:val="NoSpacing"/>
        <w:rPr>
          <w:rFonts w:asciiTheme="majorHAnsi" w:hAnsiTheme="majorHAnsi" w:cstheme="minorHAnsi"/>
          <w:b/>
          <w:color w:val="4472C4" w:themeColor="accent1"/>
          <w:sz w:val="24"/>
          <w:szCs w:val="24"/>
        </w:rPr>
      </w:pPr>
    </w:p>
    <w:p w14:paraId="1B801747" w14:textId="77777777" w:rsidR="0089463B" w:rsidRDefault="0089463B" w:rsidP="0089463B">
      <w:pPr>
        <w:pStyle w:val="NoSpacing"/>
        <w:rPr>
          <w:rFonts w:asciiTheme="majorHAnsi" w:hAnsiTheme="majorHAnsi" w:cstheme="minorHAnsi"/>
          <w:b/>
          <w:color w:val="4472C4" w:themeColor="accent1"/>
          <w:sz w:val="24"/>
          <w:szCs w:val="24"/>
        </w:rPr>
      </w:pPr>
    </w:p>
    <w:p w14:paraId="1C09C6CE" w14:textId="77777777" w:rsidR="0089463B" w:rsidRPr="00BC712B" w:rsidRDefault="0089463B" w:rsidP="0089463B">
      <w:pPr>
        <w:pStyle w:val="NoSpacing"/>
        <w:rPr>
          <w:rFonts w:cstheme="minorHAnsi"/>
        </w:rPr>
      </w:pPr>
      <w:r w:rsidRPr="0097098C">
        <w:rPr>
          <w:rFonts w:asciiTheme="majorHAnsi" w:hAnsiTheme="majorHAnsi" w:cstheme="minorHAnsi"/>
          <w:b/>
          <w:color w:val="4472C4" w:themeColor="accent1"/>
          <w:sz w:val="24"/>
          <w:szCs w:val="24"/>
        </w:rPr>
        <w:t>Table 2. CIP Outcomes 1 &amp; 2 (continued)</w:t>
      </w:r>
    </w:p>
    <w:tbl>
      <w:tblPr>
        <w:tblStyle w:val="TableGrid"/>
        <w:tblW w:w="13518" w:type="dxa"/>
        <w:tblInd w:w="-23" w:type="dxa"/>
        <w:tblLayout w:type="fixed"/>
        <w:tblLook w:val="04A0" w:firstRow="1" w:lastRow="0" w:firstColumn="1" w:lastColumn="0" w:noHBand="0" w:noVBand="1"/>
      </w:tblPr>
      <w:tblGrid>
        <w:gridCol w:w="7020"/>
        <w:gridCol w:w="6498"/>
      </w:tblGrid>
      <w:tr w:rsidR="0089463B" w:rsidRPr="00C81350" w14:paraId="2082A632" w14:textId="77777777" w:rsidTr="4043E2A9">
        <w:trPr>
          <w:trHeight w:val="537"/>
        </w:trPr>
        <w:tc>
          <w:tcPr>
            <w:tcW w:w="13518" w:type="dxa"/>
            <w:gridSpan w:val="2"/>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3E1C7ACE" w14:textId="77777777" w:rsidR="0089463B" w:rsidRPr="00C81350" w:rsidRDefault="0089463B" w:rsidP="0089463B">
            <w:pPr>
              <w:pStyle w:val="NoSpacing"/>
              <w:numPr>
                <w:ilvl w:val="0"/>
                <w:numId w:val="3"/>
              </w:numPr>
              <w:rPr>
                <w:rFonts w:ascii="Arial" w:hAnsi="Arial" w:cs="Arial"/>
                <w:b/>
                <w:bCs/>
                <w:sz w:val="20"/>
                <w:szCs w:val="20"/>
              </w:rPr>
            </w:pPr>
            <w:r w:rsidRPr="00C81350">
              <w:rPr>
                <w:rFonts w:ascii="Arial" w:hAnsi="Arial" w:cs="Arial"/>
                <w:b/>
                <w:bCs/>
                <w:sz w:val="20"/>
                <w:szCs w:val="20"/>
              </w:rPr>
              <w:t>Outcome #2</w:t>
            </w:r>
          </w:p>
          <w:p w14:paraId="65A0083D" w14:textId="77777777" w:rsidR="0089463B" w:rsidRPr="00C81350" w:rsidRDefault="0089463B" w:rsidP="00F26DE3">
            <w:pPr>
              <w:pStyle w:val="NoSpacing"/>
              <w:ind w:left="360"/>
              <w:rPr>
                <w:rFonts w:ascii="Arial" w:hAnsi="Arial" w:cs="Arial"/>
                <w:sz w:val="20"/>
                <w:szCs w:val="20"/>
              </w:rPr>
            </w:pPr>
            <w:r w:rsidRPr="00C81350">
              <w:rPr>
                <w:rFonts w:ascii="Arial" w:hAnsi="Arial" w:cs="Arial"/>
                <w:sz w:val="20"/>
                <w:szCs w:val="20"/>
              </w:rPr>
              <w:lastRenderedPageBreak/>
              <w:t>Under the category of “short term technological”, the music department will research current live streaming technologies for simulcasting Collin ensemble performances in order to increase visibility and access to the community as well as current and distance learning (weekend college) students.</w:t>
            </w:r>
          </w:p>
          <w:p w14:paraId="4768F4C3" w14:textId="77777777" w:rsidR="0089463B" w:rsidRPr="00C81350" w:rsidRDefault="0089463B" w:rsidP="00F26DE3">
            <w:pPr>
              <w:pStyle w:val="NoSpacing"/>
              <w:rPr>
                <w:rFonts w:ascii="Arial" w:hAnsi="Arial" w:cs="Arial"/>
                <w:sz w:val="20"/>
                <w:szCs w:val="20"/>
              </w:rPr>
            </w:pPr>
          </w:p>
        </w:tc>
      </w:tr>
      <w:tr w:rsidR="0089463B" w:rsidRPr="00C81350" w14:paraId="5797FD20" w14:textId="77777777" w:rsidTr="4043E2A9">
        <w:trPr>
          <w:trHeight w:val="675"/>
        </w:trPr>
        <w:tc>
          <w:tcPr>
            <w:tcW w:w="7020"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4F2E9F55" w14:textId="77777777" w:rsidR="0089463B" w:rsidRPr="00C81350" w:rsidRDefault="0089463B" w:rsidP="0089463B">
            <w:pPr>
              <w:pStyle w:val="NoSpacing"/>
              <w:numPr>
                <w:ilvl w:val="0"/>
                <w:numId w:val="3"/>
              </w:numPr>
              <w:rPr>
                <w:rFonts w:ascii="Arial" w:hAnsi="Arial" w:cs="Arial"/>
                <w:b/>
                <w:bCs/>
                <w:i/>
                <w:iCs/>
                <w:sz w:val="20"/>
                <w:szCs w:val="20"/>
              </w:rPr>
            </w:pPr>
            <w:r w:rsidRPr="00C81350">
              <w:rPr>
                <w:rFonts w:ascii="Arial" w:hAnsi="Arial" w:cs="Arial"/>
                <w:b/>
                <w:bCs/>
                <w:i/>
                <w:iCs/>
                <w:sz w:val="20"/>
                <w:szCs w:val="20"/>
              </w:rPr>
              <w:lastRenderedPageBreak/>
              <w:t>Measure (Outcome #2)</w:t>
            </w:r>
          </w:p>
          <w:p w14:paraId="4AA3718B" w14:textId="77777777" w:rsidR="0089463B" w:rsidRPr="00C81350" w:rsidRDefault="0089463B" w:rsidP="00F26DE3">
            <w:pPr>
              <w:pStyle w:val="NoSpacing"/>
              <w:rPr>
                <w:rFonts w:ascii="Arial" w:hAnsi="Arial" w:cs="Arial"/>
                <w:i/>
                <w:iCs/>
                <w:sz w:val="20"/>
                <w:szCs w:val="20"/>
              </w:rPr>
            </w:pPr>
            <w:r w:rsidRPr="00C81350">
              <w:rPr>
                <w:rFonts w:ascii="Arial" w:hAnsi="Arial" w:cs="Arial"/>
                <w:i/>
                <w:iCs/>
                <w:sz w:val="20"/>
                <w:szCs w:val="20"/>
              </w:rPr>
              <w:t>A listing of five current live-streaming technologies including at least one hardware-based solution. A written summary of current state-of-the-art live-streaming solutions including cost, feasibility and compatibility with current infrastructure.</w:t>
            </w:r>
          </w:p>
          <w:p w14:paraId="7B47D063" w14:textId="77777777" w:rsidR="0089463B" w:rsidRPr="00C81350" w:rsidRDefault="0089463B" w:rsidP="00F26DE3">
            <w:pPr>
              <w:pStyle w:val="NoSpacing"/>
              <w:ind w:left="360"/>
              <w:rPr>
                <w:rFonts w:ascii="Arial" w:hAnsi="Arial" w:cs="Arial"/>
                <w:i/>
                <w:iCs/>
                <w:sz w:val="20"/>
                <w:szCs w:val="20"/>
              </w:rPr>
            </w:pPr>
          </w:p>
        </w:tc>
        <w:tc>
          <w:tcPr>
            <w:tcW w:w="6498"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0D125F94" w14:textId="77777777" w:rsidR="0089463B" w:rsidRPr="00C81350" w:rsidRDefault="0089463B" w:rsidP="0089463B">
            <w:pPr>
              <w:pStyle w:val="NoSpacing"/>
              <w:numPr>
                <w:ilvl w:val="0"/>
                <w:numId w:val="3"/>
              </w:numPr>
              <w:rPr>
                <w:rFonts w:ascii="Arial" w:hAnsi="Arial" w:cs="Arial"/>
                <w:b/>
                <w:bCs/>
                <w:i/>
                <w:iCs/>
                <w:sz w:val="20"/>
                <w:szCs w:val="20"/>
              </w:rPr>
            </w:pPr>
            <w:r w:rsidRPr="00C81350">
              <w:rPr>
                <w:rFonts w:ascii="Arial" w:hAnsi="Arial" w:cs="Arial"/>
                <w:b/>
                <w:bCs/>
                <w:i/>
                <w:iCs/>
                <w:sz w:val="20"/>
                <w:szCs w:val="20"/>
              </w:rPr>
              <w:t>Target (Outcome #2)</w:t>
            </w:r>
          </w:p>
          <w:p w14:paraId="14E95CC0" w14:textId="77777777" w:rsidR="0089463B" w:rsidRPr="00C81350" w:rsidRDefault="0089463B" w:rsidP="00F26DE3">
            <w:pPr>
              <w:pStyle w:val="NoSpacing"/>
              <w:rPr>
                <w:rFonts w:ascii="Arial" w:hAnsi="Arial" w:cs="Arial"/>
                <w:i/>
                <w:iCs/>
                <w:sz w:val="20"/>
                <w:szCs w:val="20"/>
              </w:rPr>
            </w:pPr>
            <w:r w:rsidRPr="00C81350">
              <w:rPr>
                <w:rFonts w:ascii="Arial" w:hAnsi="Arial" w:cs="Arial"/>
                <w:i/>
                <w:iCs/>
                <w:sz w:val="20"/>
                <w:szCs w:val="20"/>
              </w:rPr>
              <w:t>Conduct at least one live-streaming performance test (either student, faculty or ensemble) to confirm feasibility and the College’s current technological infrastructure related to audio, video and www streaming speeds.</w:t>
            </w:r>
          </w:p>
        </w:tc>
      </w:tr>
      <w:tr w:rsidR="0089463B" w:rsidRPr="00C81350" w14:paraId="7A1FF66A" w14:textId="77777777" w:rsidTr="4043E2A9">
        <w:trPr>
          <w:trHeight w:val="710"/>
        </w:trPr>
        <w:tc>
          <w:tcPr>
            <w:tcW w:w="13518" w:type="dxa"/>
            <w:gridSpan w:val="2"/>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7CD6AA7C" w14:textId="77777777" w:rsidR="0089463B" w:rsidRPr="00C81350" w:rsidRDefault="0089463B" w:rsidP="0089463B">
            <w:pPr>
              <w:pStyle w:val="NoSpacing"/>
              <w:numPr>
                <w:ilvl w:val="0"/>
                <w:numId w:val="3"/>
              </w:numPr>
              <w:rPr>
                <w:rFonts w:ascii="Arial" w:hAnsi="Arial" w:cs="Arial"/>
                <w:b/>
                <w:bCs/>
                <w:i/>
                <w:iCs/>
                <w:sz w:val="20"/>
                <w:szCs w:val="20"/>
              </w:rPr>
            </w:pPr>
            <w:r w:rsidRPr="00C81350">
              <w:rPr>
                <w:rFonts w:ascii="Arial" w:hAnsi="Arial" w:cs="Arial"/>
                <w:b/>
                <w:bCs/>
                <w:i/>
                <w:iCs/>
                <w:sz w:val="20"/>
                <w:szCs w:val="20"/>
              </w:rPr>
              <w:t>Action Plan (Outcome #2)</w:t>
            </w:r>
          </w:p>
          <w:p w14:paraId="52574C89" w14:textId="77777777" w:rsidR="0089463B" w:rsidRPr="00C81350" w:rsidRDefault="0089463B" w:rsidP="00F26DE3">
            <w:pPr>
              <w:pStyle w:val="NoSpacing"/>
              <w:rPr>
                <w:rFonts w:ascii="Arial" w:hAnsi="Arial" w:cs="Arial"/>
                <w:i/>
                <w:iCs/>
                <w:sz w:val="20"/>
                <w:szCs w:val="20"/>
              </w:rPr>
            </w:pPr>
            <w:r w:rsidRPr="00C81350">
              <w:rPr>
                <w:rFonts w:ascii="Arial" w:hAnsi="Arial" w:cs="Arial"/>
                <w:i/>
                <w:iCs/>
                <w:sz w:val="20"/>
                <w:szCs w:val="20"/>
              </w:rPr>
              <w:t>Faculty will collect a listing of current technologies and vendors, individually assign one to each faculty member, and report back their findings in January 2020.  At that time, they will revise the list, add additional solutions, and re-assign research personnel and objectives.</w:t>
            </w:r>
          </w:p>
        </w:tc>
      </w:tr>
      <w:tr w:rsidR="0089463B" w:rsidRPr="00C81350" w14:paraId="51EABBEC" w14:textId="77777777" w:rsidTr="4043E2A9">
        <w:trPr>
          <w:trHeight w:val="710"/>
        </w:trPr>
        <w:tc>
          <w:tcPr>
            <w:tcW w:w="13518" w:type="dxa"/>
            <w:gridSpan w:val="2"/>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373D27C3" w14:textId="6575C8D7" w:rsidR="0089463B" w:rsidRPr="00C81350" w:rsidRDefault="0089463B" w:rsidP="193F59F7">
            <w:pPr>
              <w:pStyle w:val="NoSpacing"/>
              <w:numPr>
                <w:ilvl w:val="0"/>
                <w:numId w:val="3"/>
              </w:numPr>
              <w:rPr>
                <w:rFonts w:ascii="Arial" w:hAnsi="Arial" w:cs="Arial"/>
                <w:b/>
                <w:bCs/>
                <w:i/>
                <w:iCs/>
                <w:sz w:val="20"/>
                <w:szCs w:val="20"/>
              </w:rPr>
            </w:pPr>
            <w:r w:rsidRPr="193F59F7">
              <w:rPr>
                <w:rFonts w:ascii="Arial" w:hAnsi="Arial" w:cs="Arial"/>
                <w:b/>
                <w:bCs/>
                <w:i/>
                <w:iCs/>
                <w:sz w:val="20"/>
                <w:szCs w:val="20"/>
              </w:rPr>
              <w:t>Results Summary (Outcome #2)</w:t>
            </w:r>
          </w:p>
          <w:p w14:paraId="14A5F03C" w14:textId="56893F52" w:rsidR="193F59F7" w:rsidRDefault="193F59F7" w:rsidP="193F59F7">
            <w:pPr>
              <w:pStyle w:val="NoSpacing"/>
              <w:rPr>
                <w:rFonts w:ascii="Arial" w:hAnsi="Arial" w:cs="Arial"/>
                <w:b/>
                <w:bCs/>
                <w:i/>
                <w:iCs/>
                <w:sz w:val="20"/>
                <w:szCs w:val="20"/>
              </w:rPr>
            </w:pPr>
          </w:p>
          <w:p w14:paraId="60820CA2" w14:textId="4536ECF6" w:rsidR="69CC86BA" w:rsidRDefault="57925FAB" w:rsidP="193F59F7">
            <w:pPr>
              <w:pStyle w:val="NoSpacing"/>
              <w:rPr>
                <w:rFonts w:ascii="Arial" w:eastAsia="Arial" w:hAnsi="Arial" w:cs="Arial"/>
              </w:rPr>
            </w:pPr>
            <w:r w:rsidRPr="4043E2A9">
              <w:rPr>
                <w:rFonts w:ascii="Arial" w:eastAsia="Arial" w:hAnsi="Arial" w:cs="Arial"/>
                <w:color w:val="FF0000"/>
              </w:rPr>
              <w:t>Faculty determined that current streaming technologies including those already licensed by the college (Zoom) were proving adequate for concert streaming</w:t>
            </w:r>
            <w:r w:rsidR="0E08BDE6" w:rsidRPr="4043E2A9">
              <w:rPr>
                <w:rFonts w:ascii="Arial" w:eastAsia="Arial" w:hAnsi="Arial" w:cs="Arial"/>
                <w:color w:val="FF0000"/>
              </w:rPr>
              <w:t xml:space="preserve">, which </w:t>
            </w:r>
            <w:r w:rsidRPr="4043E2A9">
              <w:rPr>
                <w:rFonts w:ascii="Arial" w:eastAsia="Arial" w:hAnsi="Arial" w:cs="Arial"/>
                <w:color w:val="FF0000"/>
              </w:rPr>
              <w:t>made searching for outside turn-key vendors unnecessary.  Other streaming services including YouTube, Discord and Facebook were also investigated, and the differences were significant in terms of collaborations and audience member support.  Multiple concerts were streamed online</w:t>
            </w:r>
            <w:r w:rsidR="1E52DCF8" w:rsidRPr="4043E2A9">
              <w:rPr>
                <w:rFonts w:ascii="Arial" w:eastAsia="Arial" w:hAnsi="Arial" w:cs="Arial"/>
                <w:color w:val="FF0000"/>
              </w:rPr>
              <w:t xml:space="preserve">, </w:t>
            </w:r>
            <w:r w:rsidRPr="4043E2A9">
              <w:rPr>
                <w:rFonts w:ascii="Arial" w:eastAsia="Arial" w:hAnsi="Arial" w:cs="Arial"/>
                <w:color w:val="FF0000"/>
              </w:rPr>
              <w:t>notably by Guitar Ensemble and New Music Ensemble</w:t>
            </w:r>
            <w:r w:rsidR="25606F6A" w:rsidRPr="4043E2A9">
              <w:rPr>
                <w:rFonts w:ascii="Arial" w:eastAsia="Arial" w:hAnsi="Arial" w:cs="Arial"/>
                <w:color w:val="FF0000"/>
              </w:rPr>
              <w:t>.</w:t>
            </w:r>
            <w:r w:rsidR="69CC86BA">
              <w:br/>
            </w:r>
          </w:p>
          <w:p w14:paraId="402B2301" w14:textId="77777777" w:rsidR="0089463B" w:rsidRPr="00C81350" w:rsidRDefault="0089463B" w:rsidP="00F26DE3">
            <w:pPr>
              <w:pStyle w:val="NoSpacing"/>
              <w:rPr>
                <w:rFonts w:ascii="Arial" w:hAnsi="Arial" w:cs="Arial"/>
                <w:i/>
                <w:iCs/>
                <w:sz w:val="20"/>
                <w:szCs w:val="20"/>
              </w:rPr>
            </w:pPr>
          </w:p>
        </w:tc>
      </w:tr>
      <w:tr w:rsidR="0089463B" w:rsidRPr="00C81350" w14:paraId="477FD7D0" w14:textId="77777777" w:rsidTr="4043E2A9">
        <w:trPr>
          <w:trHeight w:val="710"/>
        </w:trPr>
        <w:tc>
          <w:tcPr>
            <w:tcW w:w="13518" w:type="dxa"/>
            <w:gridSpan w:val="2"/>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5016E1D8" w14:textId="301CF66D" w:rsidR="0089463B" w:rsidRPr="00C81350" w:rsidRDefault="0089463B" w:rsidP="193F59F7">
            <w:pPr>
              <w:pStyle w:val="NoSpacing"/>
              <w:numPr>
                <w:ilvl w:val="0"/>
                <w:numId w:val="3"/>
              </w:numPr>
              <w:rPr>
                <w:rFonts w:ascii="Arial" w:hAnsi="Arial" w:cs="Arial"/>
                <w:b/>
                <w:bCs/>
                <w:i/>
                <w:iCs/>
                <w:sz w:val="20"/>
                <w:szCs w:val="20"/>
              </w:rPr>
            </w:pPr>
            <w:r w:rsidRPr="193F59F7">
              <w:rPr>
                <w:rFonts w:ascii="Arial" w:hAnsi="Arial" w:cs="Arial"/>
                <w:b/>
                <w:bCs/>
                <w:i/>
                <w:iCs/>
                <w:sz w:val="20"/>
                <w:szCs w:val="20"/>
              </w:rPr>
              <w:t xml:space="preserve">Findings (Outcome #2) </w:t>
            </w:r>
          </w:p>
          <w:p w14:paraId="1822D596" w14:textId="738DA229" w:rsidR="0089463B" w:rsidRPr="00C81350" w:rsidRDefault="0089463B" w:rsidP="193F59F7">
            <w:pPr>
              <w:pStyle w:val="NoSpacing"/>
              <w:rPr>
                <w:rFonts w:ascii="Arial" w:eastAsia="Arial" w:hAnsi="Arial" w:cs="Arial"/>
              </w:rPr>
            </w:pPr>
          </w:p>
          <w:p w14:paraId="35382F6A" w14:textId="59CC3655" w:rsidR="0089463B" w:rsidRPr="00C81350" w:rsidRDefault="33AA6A85" w:rsidP="193F59F7">
            <w:pPr>
              <w:pStyle w:val="NoSpacing"/>
              <w:rPr>
                <w:rFonts w:ascii="Arial" w:eastAsia="Arial" w:hAnsi="Arial" w:cs="Arial"/>
                <w:color w:val="FF0000"/>
              </w:rPr>
            </w:pPr>
            <w:r w:rsidRPr="4043E2A9">
              <w:rPr>
                <w:rFonts w:ascii="Arial" w:eastAsia="Arial" w:hAnsi="Arial" w:cs="Arial"/>
                <w:color w:val="FF0000"/>
              </w:rPr>
              <w:t>With the advent of COVID-19 and mandatory social distancing and lockdowns, the research was accelerated and immediately implemented with multiple variants.  The main online variants are the following:</w:t>
            </w:r>
            <w:r w:rsidR="0089463B">
              <w:br/>
            </w:r>
            <w:r w:rsidRPr="4043E2A9">
              <w:rPr>
                <w:rFonts w:ascii="Arial" w:eastAsia="Arial" w:hAnsi="Arial" w:cs="Arial"/>
                <w:color w:val="FF0000"/>
              </w:rPr>
              <w:t xml:space="preserve"> •</w:t>
            </w:r>
            <w:r w:rsidR="5A350073" w:rsidRPr="4043E2A9">
              <w:rPr>
                <w:rFonts w:ascii="Arial" w:eastAsia="Arial" w:hAnsi="Arial" w:cs="Arial"/>
                <w:color w:val="FF0000"/>
              </w:rPr>
              <w:t xml:space="preserve">   </w:t>
            </w:r>
            <w:r w:rsidRPr="4043E2A9">
              <w:rPr>
                <w:rFonts w:ascii="Arial" w:eastAsia="Arial" w:hAnsi="Arial" w:cs="Arial"/>
                <w:color w:val="FF0000"/>
              </w:rPr>
              <w:t>Zoom-only concerts with remote soloists</w:t>
            </w:r>
            <w:r w:rsidR="69F80DD1" w:rsidRPr="4043E2A9">
              <w:rPr>
                <w:rFonts w:ascii="Arial" w:eastAsia="Arial" w:hAnsi="Arial" w:cs="Arial"/>
                <w:color w:val="FF0000"/>
              </w:rPr>
              <w:t>;</w:t>
            </w:r>
            <w:r w:rsidR="0089463B">
              <w:br/>
            </w:r>
            <w:r w:rsidRPr="4043E2A9">
              <w:rPr>
                <w:rFonts w:ascii="Arial" w:eastAsia="Arial" w:hAnsi="Arial" w:cs="Arial"/>
                <w:color w:val="FF0000"/>
              </w:rPr>
              <w:t xml:space="preserve"> •</w:t>
            </w:r>
            <w:r w:rsidR="1AEA5177" w:rsidRPr="4043E2A9">
              <w:rPr>
                <w:rFonts w:ascii="Arial" w:eastAsia="Arial" w:hAnsi="Arial" w:cs="Arial"/>
                <w:color w:val="FF0000"/>
              </w:rPr>
              <w:t xml:space="preserve">  </w:t>
            </w:r>
            <w:r w:rsidR="19419FE5" w:rsidRPr="4043E2A9">
              <w:rPr>
                <w:rFonts w:ascii="Arial" w:eastAsia="Arial" w:hAnsi="Arial" w:cs="Arial"/>
                <w:color w:val="FF0000"/>
              </w:rPr>
              <w:t xml:space="preserve"> </w:t>
            </w:r>
            <w:r w:rsidRPr="4043E2A9">
              <w:rPr>
                <w:rFonts w:ascii="Arial" w:eastAsia="Arial" w:hAnsi="Arial" w:cs="Arial"/>
                <w:color w:val="FF0000"/>
              </w:rPr>
              <w:t>Zoom-only concerts with on-campus soloists and small ensembles with social distancing</w:t>
            </w:r>
            <w:r w:rsidR="37FCC1C1" w:rsidRPr="4043E2A9">
              <w:rPr>
                <w:rFonts w:ascii="Arial" w:eastAsia="Arial" w:hAnsi="Arial" w:cs="Arial"/>
                <w:color w:val="FF0000"/>
              </w:rPr>
              <w:t>;</w:t>
            </w:r>
            <w:r w:rsidR="0089463B">
              <w:br/>
            </w:r>
            <w:r w:rsidR="624EC286" w:rsidRPr="4043E2A9">
              <w:rPr>
                <w:rFonts w:ascii="Arial" w:eastAsia="Arial" w:hAnsi="Arial" w:cs="Arial"/>
                <w:color w:val="FF0000"/>
              </w:rPr>
              <w:t xml:space="preserve">•   </w:t>
            </w:r>
            <w:r w:rsidRPr="4043E2A9">
              <w:rPr>
                <w:rFonts w:ascii="Arial" w:eastAsia="Arial" w:hAnsi="Arial" w:cs="Arial"/>
                <w:color w:val="FF0000"/>
              </w:rPr>
              <w:t>Zoom used in conjunction with Open Broadcasting Software (OBS) and Discord to live stream on a platform such as YouTube.</w:t>
            </w:r>
            <w:r w:rsidR="0089463B">
              <w:br/>
            </w:r>
          </w:p>
        </w:tc>
      </w:tr>
      <w:tr w:rsidR="0089463B" w:rsidRPr="00C81350" w14:paraId="1CB43741" w14:textId="77777777" w:rsidTr="4043E2A9">
        <w:trPr>
          <w:trHeight w:val="3139"/>
        </w:trPr>
        <w:tc>
          <w:tcPr>
            <w:tcW w:w="13518" w:type="dxa"/>
            <w:gridSpan w:val="2"/>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0E872C65" w14:textId="40E1A861" w:rsidR="0089463B" w:rsidRPr="00C81350" w:rsidRDefault="0089463B" w:rsidP="193F59F7">
            <w:pPr>
              <w:pStyle w:val="NoSpacing"/>
              <w:numPr>
                <w:ilvl w:val="0"/>
                <w:numId w:val="3"/>
              </w:numPr>
              <w:rPr>
                <w:rFonts w:ascii="Arial" w:hAnsi="Arial" w:cs="Arial"/>
                <w:b/>
                <w:bCs/>
                <w:sz w:val="20"/>
                <w:szCs w:val="20"/>
              </w:rPr>
            </w:pPr>
            <w:r w:rsidRPr="193F59F7">
              <w:rPr>
                <w:rFonts w:ascii="Arial" w:hAnsi="Arial" w:cs="Arial"/>
                <w:b/>
                <w:bCs/>
                <w:i/>
                <w:iCs/>
                <w:sz w:val="20"/>
                <w:szCs w:val="20"/>
              </w:rPr>
              <w:lastRenderedPageBreak/>
              <w:t xml:space="preserve">Implementation of Findings (Outcome #2) </w:t>
            </w:r>
          </w:p>
          <w:p w14:paraId="498CB8A8" w14:textId="7D82D32C" w:rsidR="0089463B" w:rsidRPr="00C81350" w:rsidRDefault="0089463B" w:rsidP="193F59F7">
            <w:pPr>
              <w:pStyle w:val="NoSpacing"/>
              <w:rPr>
                <w:rFonts w:ascii="Arial" w:eastAsia="Arial" w:hAnsi="Arial" w:cs="Arial"/>
              </w:rPr>
            </w:pPr>
          </w:p>
          <w:p w14:paraId="72BECC65" w14:textId="6BD19071" w:rsidR="0089463B" w:rsidRPr="00C81350" w:rsidRDefault="2F069BBA" w:rsidP="193F59F7">
            <w:pPr>
              <w:pStyle w:val="NoSpacing"/>
              <w:rPr>
                <w:rFonts w:ascii="Arial" w:eastAsia="Arial" w:hAnsi="Arial" w:cs="Arial"/>
              </w:rPr>
            </w:pPr>
            <w:r w:rsidRPr="193F59F7">
              <w:rPr>
                <w:rFonts w:ascii="Arial" w:eastAsia="Arial" w:hAnsi="Arial" w:cs="Arial"/>
                <w:color w:val="FF0000"/>
              </w:rPr>
              <w:t>With the advent of the COVID-19 pandemic, live streaming has emerged as a necessary addition to traditional music performances.  However, live streaming in conventional performance venues with fixed/non-portable systems has also been impacted by social distancing-based restrictions on audience size.  Therefore, musicians have found creative solutions such as performer-only streamed events and streaming from alternative venues. This “silver lining” of greater community outreach in conjunction with a greater simultaneous online presence has created an opportunity for enhancing the mobile live streaming infrastructure. Faculty are requesting funding to remedy the infrastructure shortfalls with the technical requirements for a visually enriching, multi-camera, system in tandem with quality audio and a portable computer that best serves the needs of students and their audience.  Once enabled, musicians would present their performances live to socially distanced audiences while streaming a visually and sonically rich performance to a wider online audience.</w:t>
            </w:r>
          </w:p>
        </w:tc>
      </w:tr>
    </w:tbl>
    <w:p w14:paraId="48B87621" w14:textId="77777777" w:rsidR="0089463B" w:rsidRPr="00C81350" w:rsidRDefault="0089463B" w:rsidP="0089463B"/>
    <w:p w14:paraId="09A35A39" w14:textId="77777777" w:rsidR="00C0503B" w:rsidRDefault="00C0503B"/>
    <w:sectPr w:rsidR="00C0503B" w:rsidSect="0089463B">
      <w:headerReference w:type="default" r:id="rId7"/>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028301" w14:textId="77777777" w:rsidR="00000000" w:rsidRDefault="006E68B4">
      <w:pPr>
        <w:spacing w:after="0" w:line="240" w:lineRule="auto"/>
      </w:pPr>
      <w:r>
        <w:separator/>
      </w:r>
    </w:p>
  </w:endnote>
  <w:endnote w:type="continuationSeparator" w:id="0">
    <w:p w14:paraId="7AD5295B" w14:textId="77777777" w:rsidR="00000000" w:rsidRDefault="006E6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320"/>
      <w:gridCol w:w="4320"/>
      <w:gridCol w:w="4320"/>
    </w:tblGrid>
    <w:tr w:rsidR="193F59F7" w14:paraId="72DC152D" w14:textId="77777777" w:rsidTr="193F59F7">
      <w:tc>
        <w:tcPr>
          <w:tcW w:w="4320" w:type="dxa"/>
        </w:tcPr>
        <w:p w14:paraId="6B579053" w14:textId="1557E59C" w:rsidR="193F59F7" w:rsidRDefault="193F59F7" w:rsidP="193F59F7">
          <w:pPr>
            <w:pStyle w:val="Header"/>
            <w:ind w:left="-115"/>
          </w:pPr>
          <w:r>
            <w:t>Spring 2021</w:t>
          </w:r>
        </w:p>
      </w:tc>
      <w:tc>
        <w:tcPr>
          <w:tcW w:w="4320" w:type="dxa"/>
        </w:tcPr>
        <w:p w14:paraId="49D7B54B" w14:textId="210F5710" w:rsidR="193F59F7" w:rsidRDefault="193F59F7" w:rsidP="193F59F7">
          <w:pPr>
            <w:pStyle w:val="Header"/>
            <w:jc w:val="center"/>
          </w:pPr>
        </w:p>
      </w:tc>
      <w:tc>
        <w:tcPr>
          <w:tcW w:w="4320" w:type="dxa"/>
        </w:tcPr>
        <w:p w14:paraId="4C986E29" w14:textId="211B93D8" w:rsidR="193F59F7" w:rsidRDefault="193F59F7" w:rsidP="193F59F7">
          <w:pPr>
            <w:pStyle w:val="Header"/>
            <w:ind w:right="-115"/>
            <w:jc w:val="right"/>
          </w:pPr>
        </w:p>
      </w:tc>
    </w:tr>
  </w:tbl>
  <w:p w14:paraId="338E201D" w14:textId="32FBFFAB" w:rsidR="193F59F7" w:rsidRDefault="193F59F7" w:rsidP="193F59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59961D" w14:textId="77777777" w:rsidR="00000000" w:rsidRDefault="006E68B4">
      <w:pPr>
        <w:spacing w:after="0" w:line="240" w:lineRule="auto"/>
      </w:pPr>
      <w:r>
        <w:separator/>
      </w:r>
    </w:p>
  </w:footnote>
  <w:footnote w:type="continuationSeparator" w:id="0">
    <w:p w14:paraId="4D22E7DF" w14:textId="77777777" w:rsidR="00000000" w:rsidRDefault="006E68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320"/>
      <w:gridCol w:w="4320"/>
      <w:gridCol w:w="4320"/>
    </w:tblGrid>
    <w:tr w:rsidR="193F59F7" w14:paraId="37AAAFF3" w14:textId="77777777" w:rsidTr="193F59F7">
      <w:tc>
        <w:tcPr>
          <w:tcW w:w="4320" w:type="dxa"/>
        </w:tcPr>
        <w:p w14:paraId="0F49D494" w14:textId="5A38809C" w:rsidR="193F59F7" w:rsidRDefault="193F59F7" w:rsidP="193F59F7">
          <w:pPr>
            <w:pStyle w:val="Header"/>
            <w:ind w:left="-115"/>
          </w:pPr>
        </w:p>
      </w:tc>
      <w:tc>
        <w:tcPr>
          <w:tcW w:w="4320" w:type="dxa"/>
        </w:tcPr>
        <w:p w14:paraId="5AD7694E" w14:textId="7112F6CB" w:rsidR="193F59F7" w:rsidRDefault="193F59F7" w:rsidP="193F59F7">
          <w:pPr>
            <w:pStyle w:val="Header"/>
            <w:jc w:val="center"/>
          </w:pPr>
        </w:p>
      </w:tc>
      <w:tc>
        <w:tcPr>
          <w:tcW w:w="4320" w:type="dxa"/>
        </w:tcPr>
        <w:p w14:paraId="52388385" w14:textId="77E821A3" w:rsidR="193F59F7" w:rsidRDefault="193F59F7" w:rsidP="193F59F7">
          <w:pPr>
            <w:pStyle w:val="Header"/>
            <w:ind w:right="-115"/>
            <w:jc w:val="right"/>
          </w:pPr>
        </w:p>
      </w:tc>
    </w:tr>
  </w:tbl>
  <w:p w14:paraId="1D31F78E" w14:textId="3E7298CE" w:rsidR="193F59F7" w:rsidRDefault="193F59F7" w:rsidP="193F59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45928"/>
    <w:multiLevelType w:val="hybridMultilevel"/>
    <w:tmpl w:val="77D487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ED4445"/>
    <w:multiLevelType w:val="hybridMultilevel"/>
    <w:tmpl w:val="88B88170"/>
    <w:lvl w:ilvl="0" w:tplc="46E8C07A">
      <w:start w:val="1"/>
      <w:numFmt w:val="bullet"/>
      <w:lvlText w:val=""/>
      <w:lvlJc w:val="left"/>
      <w:pPr>
        <w:ind w:left="720" w:hanging="360"/>
      </w:pPr>
      <w:rPr>
        <w:rFonts w:ascii="Symbol" w:hAnsi="Symbol" w:hint="default"/>
      </w:rPr>
    </w:lvl>
    <w:lvl w:ilvl="1" w:tplc="B2340F7E">
      <w:start w:val="1"/>
      <w:numFmt w:val="bullet"/>
      <w:lvlText w:val="o"/>
      <w:lvlJc w:val="left"/>
      <w:pPr>
        <w:ind w:left="1440" w:hanging="360"/>
      </w:pPr>
      <w:rPr>
        <w:rFonts w:ascii="Courier New" w:hAnsi="Courier New" w:hint="default"/>
      </w:rPr>
    </w:lvl>
    <w:lvl w:ilvl="2" w:tplc="CC30E866">
      <w:start w:val="1"/>
      <w:numFmt w:val="bullet"/>
      <w:lvlText w:val=""/>
      <w:lvlJc w:val="left"/>
      <w:pPr>
        <w:ind w:left="2160" w:hanging="360"/>
      </w:pPr>
      <w:rPr>
        <w:rFonts w:ascii="Wingdings" w:hAnsi="Wingdings" w:hint="default"/>
      </w:rPr>
    </w:lvl>
    <w:lvl w:ilvl="3" w:tplc="3C002936">
      <w:start w:val="1"/>
      <w:numFmt w:val="bullet"/>
      <w:lvlText w:val=""/>
      <w:lvlJc w:val="left"/>
      <w:pPr>
        <w:ind w:left="2880" w:hanging="360"/>
      </w:pPr>
      <w:rPr>
        <w:rFonts w:ascii="Symbol" w:hAnsi="Symbol" w:hint="default"/>
      </w:rPr>
    </w:lvl>
    <w:lvl w:ilvl="4" w:tplc="7F3A6E9A">
      <w:start w:val="1"/>
      <w:numFmt w:val="bullet"/>
      <w:lvlText w:val="o"/>
      <w:lvlJc w:val="left"/>
      <w:pPr>
        <w:ind w:left="3600" w:hanging="360"/>
      </w:pPr>
      <w:rPr>
        <w:rFonts w:ascii="Courier New" w:hAnsi="Courier New" w:hint="default"/>
      </w:rPr>
    </w:lvl>
    <w:lvl w:ilvl="5" w:tplc="9118AB5E">
      <w:start w:val="1"/>
      <w:numFmt w:val="bullet"/>
      <w:lvlText w:val=""/>
      <w:lvlJc w:val="left"/>
      <w:pPr>
        <w:ind w:left="4320" w:hanging="360"/>
      </w:pPr>
      <w:rPr>
        <w:rFonts w:ascii="Wingdings" w:hAnsi="Wingdings" w:hint="default"/>
      </w:rPr>
    </w:lvl>
    <w:lvl w:ilvl="6" w:tplc="C6C05504">
      <w:start w:val="1"/>
      <w:numFmt w:val="bullet"/>
      <w:lvlText w:val=""/>
      <w:lvlJc w:val="left"/>
      <w:pPr>
        <w:ind w:left="5040" w:hanging="360"/>
      </w:pPr>
      <w:rPr>
        <w:rFonts w:ascii="Symbol" w:hAnsi="Symbol" w:hint="default"/>
      </w:rPr>
    </w:lvl>
    <w:lvl w:ilvl="7" w:tplc="0E24002E">
      <w:start w:val="1"/>
      <w:numFmt w:val="bullet"/>
      <w:lvlText w:val="o"/>
      <w:lvlJc w:val="left"/>
      <w:pPr>
        <w:ind w:left="5760" w:hanging="360"/>
      </w:pPr>
      <w:rPr>
        <w:rFonts w:ascii="Courier New" w:hAnsi="Courier New" w:hint="default"/>
      </w:rPr>
    </w:lvl>
    <w:lvl w:ilvl="8" w:tplc="5554E998">
      <w:start w:val="1"/>
      <w:numFmt w:val="bullet"/>
      <w:lvlText w:val=""/>
      <w:lvlJc w:val="left"/>
      <w:pPr>
        <w:ind w:left="6480" w:hanging="360"/>
      </w:pPr>
      <w:rPr>
        <w:rFonts w:ascii="Wingdings" w:hAnsi="Wingdings" w:hint="default"/>
      </w:rPr>
    </w:lvl>
  </w:abstractNum>
  <w:abstractNum w:abstractNumId="2" w15:restartNumberingAfterBreak="0">
    <w:nsid w:val="54BF7DAB"/>
    <w:multiLevelType w:val="hybridMultilevel"/>
    <w:tmpl w:val="CB4E2D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63B"/>
    <w:rsid w:val="006E68B4"/>
    <w:rsid w:val="0089463B"/>
    <w:rsid w:val="00C0503B"/>
    <w:rsid w:val="00EA685B"/>
    <w:rsid w:val="012814A4"/>
    <w:rsid w:val="023A29F8"/>
    <w:rsid w:val="029BD317"/>
    <w:rsid w:val="03A20AD0"/>
    <w:rsid w:val="067A3E3B"/>
    <w:rsid w:val="070D9B1B"/>
    <w:rsid w:val="08A96B7C"/>
    <w:rsid w:val="0936FC34"/>
    <w:rsid w:val="09EE4A37"/>
    <w:rsid w:val="0C47D504"/>
    <w:rsid w:val="0D1EA68E"/>
    <w:rsid w:val="0E08BDE6"/>
    <w:rsid w:val="1005D996"/>
    <w:rsid w:val="102859DC"/>
    <w:rsid w:val="10A0D830"/>
    <w:rsid w:val="116A24FA"/>
    <w:rsid w:val="11A84054"/>
    <w:rsid w:val="11FF6E39"/>
    <w:rsid w:val="124B7716"/>
    <w:rsid w:val="13F40BA9"/>
    <w:rsid w:val="15505D01"/>
    <w:rsid w:val="1639A703"/>
    <w:rsid w:val="163E2BA7"/>
    <w:rsid w:val="193F59F7"/>
    <w:rsid w:val="19419FE5"/>
    <w:rsid w:val="1A634D2D"/>
    <w:rsid w:val="1A67317C"/>
    <w:rsid w:val="1AEA5177"/>
    <w:rsid w:val="1D3CB7DE"/>
    <w:rsid w:val="1DEF594D"/>
    <w:rsid w:val="1E52DCF8"/>
    <w:rsid w:val="20AF36FA"/>
    <w:rsid w:val="2191403F"/>
    <w:rsid w:val="230775A3"/>
    <w:rsid w:val="24B2DCA9"/>
    <w:rsid w:val="2501D6B5"/>
    <w:rsid w:val="25606F6A"/>
    <w:rsid w:val="25D6B9AA"/>
    <w:rsid w:val="265C428D"/>
    <w:rsid w:val="267B7801"/>
    <w:rsid w:val="28174862"/>
    <w:rsid w:val="2854A5DC"/>
    <w:rsid w:val="288CC10D"/>
    <w:rsid w:val="291A3191"/>
    <w:rsid w:val="292BC4C0"/>
    <w:rsid w:val="2A2C5282"/>
    <w:rsid w:val="2ACDDC55"/>
    <w:rsid w:val="2C096499"/>
    <w:rsid w:val="2C20515E"/>
    <w:rsid w:val="2E8BAC4F"/>
    <w:rsid w:val="2ED633CF"/>
    <w:rsid w:val="2F069BBA"/>
    <w:rsid w:val="2F64399C"/>
    <w:rsid w:val="2FA188DF"/>
    <w:rsid w:val="30D5CC4D"/>
    <w:rsid w:val="3208A8A7"/>
    <w:rsid w:val="320E332E"/>
    <w:rsid w:val="3250EC6D"/>
    <w:rsid w:val="328F63C4"/>
    <w:rsid w:val="333BDAD1"/>
    <w:rsid w:val="33AA6A85"/>
    <w:rsid w:val="33EBFF49"/>
    <w:rsid w:val="3404E90C"/>
    <w:rsid w:val="3525C7FF"/>
    <w:rsid w:val="3546D22A"/>
    <w:rsid w:val="3768258F"/>
    <w:rsid w:val="37FCC1C1"/>
    <w:rsid w:val="38F732F1"/>
    <w:rsid w:val="3BAD688E"/>
    <w:rsid w:val="3C61D699"/>
    <w:rsid w:val="3D0DFCFE"/>
    <w:rsid w:val="4043E2A9"/>
    <w:rsid w:val="42F25FEA"/>
    <w:rsid w:val="42FCC2BB"/>
    <w:rsid w:val="462121EF"/>
    <w:rsid w:val="4699FBD0"/>
    <w:rsid w:val="46F52F4E"/>
    <w:rsid w:val="47093AE2"/>
    <w:rsid w:val="4838D84E"/>
    <w:rsid w:val="498421A0"/>
    <w:rsid w:val="49AB64EB"/>
    <w:rsid w:val="49D221C9"/>
    <w:rsid w:val="4AD84A27"/>
    <w:rsid w:val="4B412CE0"/>
    <w:rsid w:val="4CC88172"/>
    <w:rsid w:val="50B01D28"/>
    <w:rsid w:val="50F3E527"/>
    <w:rsid w:val="51BE4105"/>
    <w:rsid w:val="524BED89"/>
    <w:rsid w:val="5250FA02"/>
    <w:rsid w:val="53FD620D"/>
    <w:rsid w:val="55598526"/>
    <w:rsid w:val="55D4DB3B"/>
    <w:rsid w:val="567BBE13"/>
    <w:rsid w:val="57925FAB"/>
    <w:rsid w:val="58495492"/>
    <w:rsid w:val="58D8826A"/>
    <w:rsid w:val="59A4C058"/>
    <w:rsid w:val="5A350073"/>
    <w:rsid w:val="5CCD6A65"/>
    <w:rsid w:val="5E3DE4E8"/>
    <w:rsid w:val="5E693AC6"/>
    <w:rsid w:val="5F2E0358"/>
    <w:rsid w:val="5FB60D1C"/>
    <w:rsid w:val="5FF764BB"/>
    <w:rsid w:val="6193351C"/>
    <w:rsid w:val="622704C8"/>
    <w:rsid w:val="624EC286"/>
    <w:rsid w:val="6335244E"/>
    <w:rsid w:val="656988DC"/>
    <w:rsid w:val="66B87B41"/>
    <w:rsid w:val="66D9F3A9"/>
    <w:rsid w:val="6735BDA0"/>
    <w:rsid w:val="68101D0C"/>
    <w:rsid w:val="68467B57"/>
    <w:rsid w:val="68896ECC"/>
    <w:rsid w:val="695A8720"/>
    <w:rsid w:val="69C814BF"/>
    <w:rsid w:val="69CC86BA"/>
    <w:rsid w:val="69F80DD1"/>
    <w:rsid w:val="6ADE0E62"/>
    <w:rsid w:val="6B63E520"/>
    <w:rsid w:val="6BAC67E4"/>
    <w:rsid w:val="6D9ECFAD"/>
    <w:rsid w:val="6E7F5E90"/>
    <w:rsid w:val="6FF34AC8"/>
    <w:rsid w:val="701B2EF1"/>
    <w:rsid w:val="719DE9AE"/>
    <w:rsid w:val="73997FE2"/>
    <w:rsid w:val="74E32688"/>
    <w:rsid w:val="75CBFD31"/>
    <w:rsid w:val="76648908"/>
    <w:rsid w:val="7767CD92"/>
    <w:rsid w:val="77AFEBAF"/>
    <w:rsid w:val="79604F51"/>
    <w:rsid w:val="7A642A58"/>
    <w:rsid w:val="7AFC1FB2"/>
    <w:rsid w:val="7DDA73FD"/>
    <w:rsid w:val="7EEB724F"/>
    <w:rsid w:val="7F701CF0"/>
    <w:rsid w:val="7FF13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10046"/>
  <w15:chartTrackingRefBased/>
  <w15:docId w15:val="{239BAE82-3E3E-D547-A64D-5AAA5003F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463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9463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9463B"/>
    <w:rPr>
      <w:sz w:val="22"/>
      <w:szCs w:val="22"/>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976</Words>
  <Characters>5564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Beenah Moshay</cp:lastModifiedBy>
  <cp:revision>2</cp:revision>
  <dcterms:created xsi:type="dcterms:W3CDTF">2022-02-01T14:28:00Z</dcterms:created>
  <dcterms:modified xsi:type="dcterms:W3CDTF">2022-02-01T14:28:00Z</dcterms:modified>
</cp:coreProperties>
</file>