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4B23C0">
        <w:rPr>
          <w:b/>
        </w:rPr>
        <w:t xml:space="preserve">  </w:t>
      </w:r>
      <w:r w:rsidR="004B23C0" w:rsidRPr="004B23C0">
        <w:rPr>
          <w:b/>
          <w:u w:val="single"/>
        </w:rPr>
        <w:t>2012</w:t>
      </w:r>
      <w:proofErr w:type="gramEnd"/>
      <w:r w:rsidR="004B23C0" w:rsidRPr="004B23C0">
        <w:rPr>
          <w:b/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_____</w:t>
      </w:r>
      <w:r w:rsidR="004B23C0">
        <w:rPr>
          <w:rFonts w:ascii="Cambria" w:hAnsi="Cambria"/>
          <w:u w:val="single"/>
        </w:rPr>
        <w:t>Hospitality and Food Service Management</w:t>
      </w:r>
      <w:r w:rsidR="00B768CB" w:rsidRPr="006B5082">
        <w:rPr>
          <w:rFonts w:ascii="Cambria" w:hAnsi="Cambria"/>
          <w:u w:val="single"/>
        </w:rPr>
        <w:t>_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675C43">
        <w:t xml:space="preserve">  </w:t>
      </w:r>
      <w:r w:rsidR="004B23C0" w:rsidRPr="004B23C0">
        <w:rPr>
          <w:u w:val="single"/>
        </w:rPr>
        <w:t>Karen Musa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4B23C0" w:rsidRPr="004B23C0">
        <w:rPr>
          <w:u w:val="single"/>
        </w:rPr>
        <w:t>Kmusa</w:t>
      </w:r>
      <w:r w:rsidR="005D6562" w:rsidRPr="004B23C0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Pr="00675C43" w:rsidRDefault="004B23C0" w:rsidP="004B23C0">
            <w:r>
              <w:rPr>
                <w:sz w:val="24"/>
                <w:szCs w:val="24"/>
              </w:rPr>
              <w:t xml:space="preserve">The </w:t>
            </w:r>
            <w:proofErr w:type="gramStart"/>
            <w:r>
              <w:rPr>
                <w:sz w:val="24"/>
                <w:szCs w:val="24"/>
              </w:rPr>
              <w:t>mi</w:t>
            </w:r>
            <w:r w:rsidRPr="004B23C0">
              <w:rPr>
                <w:sz w:val="24"/>
                <w:szCs w:val="24"/>
              </w:rPr>
              <w:t xml:space="preserve">ssion </w:t>
            </w:r>
            <w:r w:rsidR="005D6562" w:rsidRPr="004B23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Hospitality and Food Service Management program is to prepare students to qualify for a variety of mid-management positions and career advancement in the hospitality industry. The curriculum emphasizes problem-solving, creativity and industry involvement, in addition to practical on-the-job experience.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4B23C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B23C0" w:rsidRPr="00E3280B" w:rsidRDefault="004B23C0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Hotel/Restaurant Management or Meetings &amp; Event Planning students will construct a capstone portfolio which illustrates basic skills and knowledge, including, but not limited to the following: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profile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showing impact of hotel/restaurant design, financial management, and legal issues regarding liability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</w:t>
            </w:r>
            <w:proofErr w:type="spellStart"/>
            <w:r>
              <w:rPr>
                <w:rFonts w:ascii="Arial" w:hAnsi="Arial" w:cs="Arial"/>
              </w:rPr>
              <w:t>management,such</w:t>
            </w:r>
            <w:proofErr w:type="spellEnd"/>
            <w:r>
              <w:rPr>
                <w:rFonts w:ascii="Arial" w:hAnsi="Arial" w:cs="Arial"/>
              </w:rPr>
              <w:t xml:space="preserve"> as job descriptions, interviewing, hiring, recruiting and staff discipline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policy manual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ServSafe</w:t>
            </w:r>
            <w:proofErr w:type="spellEnd"/>
            <w:r>
              <w:rPr>
                <w:rFonts w:ascii="Arial" w:hAnsi="Arial" w:cs="Arial"/>
              </w:rPr>
              <w:t xml:space="preserve"> Certification @75% or above</w:t>
            </w:r>
          </w:p>
          <w:p w:rsidR="004B23C0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paper analyzing impact of Front office procedures, including rooms division, concierge, uniform services, and housekeeping</w:t>
            </w:r>
          </w:p>
          <w:p w:rsidR="004B23C0" w:rsidRPr="00885049" w:rsidRDefault="004B23C0" w:rsidP="004B23C0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Bouus</w:t>
            </w:r>
            <w:proofErr w:type="spellEnd"/>
            <w:r>
              <w:rPr>
                <w:rFonts w:ascii="Arial" w:hAnsi="Arial" w:cs="Arial"/>
              </w:rPr>
              <w:t>: Certified Tourism Ambassador (Certification) and American Hotel and Lodging Association certificate exams</w:t>
            </w:r>
          </w:p>
        </w:tc>
        <w:tc>
          <w:tcPr>
            <w:tcW w:w="4800" w:type="dxa"/>
          </w:tcPr>
          <w:p w:rsidR="004B23C0" w:rsidRDefault="004B23C0" w:rsidP="004B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Contents of each section of the Capstone Portfolio (CAP) will rate the student’s work</w:t>
            </w:r>
            <w:r w:rsidR="00636A5A">
              <w:rPr>
                <w:rFonts w:ascii="Arial" w:hAnsi="Arial" w:cs="Arial"/>
              </w:rPr>
              <w:t xml:space="preserve"> on a 4 point scale</w:t>
            </w:r>
            <w:r>
              <w:rPr>
                <w:rFonts w:ascii="Arial" w:hAnsi="Arial" w:cs="Arial"/>
              </w:rPr>
              <w:t xml:space="preserve">. </w:t>
            </w:r>
          </w:p>
          <w:p w:rsidR="004B23C0" w:rsidRDefault="004B23C0" w:rsidP="00922C21">
            <w:pPr>
              <w:rPr>
                <w:rFonts w:ascii="Arial" w:hAnsi="Arial" w:cs="Arial"/>
              </w:rPr>
            </w:pPr>
          </w:p>
          <w:p w:rsidR="004B23C0" w:rsidRDefault="004B23C0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Portfolio will include work from the following technical courses: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CHEF</w:t>
            </w:r>
            <w:r>
              <w:rPr>
                <w:rFonts w:ascii="Arial" w:hAnsi="Arial" w:cs="Arial"/>
              </w:rPr>
              <w:t xml:space="preserve"> 1305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1327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HAMG</w:t>
            </w:r>
            <w:r>
              <w:rPr>
                <w:rFonts w:ascii="Arial" w:hAnsi="Arial" w:cs="Arial"/>
              </w:rPr>
              <w:t xml:space="preserve"> 1313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1323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HAMG</w:t>
            </w:r>
            <w:r>
              <w:rPr>
                <w:rFonts w:ascii="Arial" w:hAnsi="Arial" w:cs="Arial"/>
              </w:rPr>
              <w:t xml:space="preserve"> 2337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2355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RSTO</w:t>
            </w:r>
            <w:r>
              <w:rPr>
                <w:rFonts w:ascii="Arial" w:hAnsi="Arial" w:cs="Arial"/>
              </w:rPr>
              <w:t xml:space="preserve"> 1325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2341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HAMG</w:t>
            </w:r>
            <w:r>
              <w:rPr>
                <w:rFonts w:ascii="Arial" w:hAnsi="Arial" w:cs="Arial"/>
              </w:rPr>
              <w:t xml:space="preserve"> 2380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2380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  <w:r w:rsidRPr="00C36D8C">
              <w:rPr>
                <w:rFonts w:ascii="Arial" w:hAnsi="Arial" w:cs="Arial"/>
                <w:b/>
              </w:rPr>
              <w:t>HAMG</w:t>
            </w:r>
            <w:r>
              <w:rPr>
                <w:rFonts w:ascii="Arial" w:hAnsi="Arial" w:cs="Arial"/>
              </w:rPr>
              <w:t xml:space="preserve"> 2305 or </w:t>
            </w:r>
            <w:r w:rsidRPr="00C36D8C">
              <w:rPr>
                <w:rFonts w:ascii="Arial" w:hAnsi="Arial" w:cs="Arial"/>
                <w:b/>
              </w:rPr>
              <w:t>TRVM</w:t>
            </w:r>
            <w:r>
              <w:rPr>
                <w:rFonts w:ascii="Arial" w:hAnsi="Arial" w:cs="Arial"/>
              </w:rPr>
              <w:t xml:space="preserve"> 2333</w:t>
            </w:r>
          </w:p>
          <w:p w:rsidR="004B23C0" w:rsidRDefault="004B23C0" w:rsidP="004B23C0">
            <w:pPr>
              <w:rPr>
                <w:rFonts w:ascii="Arial" w:hAnsi="Arial" w:cs="Arial"/>
              </w:rPr>
            </w:pPr>
          </w:p>
          <w:p w:rsidR="00636A5A" w:rsidRDefault="00636A5A" w:rsidP="00636A5A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 xml:space="preserve">Contents of each section of the </w:t>
            </w:r>
            <w:r w:rsidRPr="001B05B0">
              <w:rPr>
                <w:rFonts w:ascii="Arial" w:hAnsi="Arial" w:cs="Arial"/>
                <w:b/>
              </w:rPr>
              <w:t>CAP</w:t>
            </w:r>
            <w:r w:rsidRPr="00E3280B">
              <w:rPr>
                <w:rFonts w:ascii="Arial" w:hAnsi="Arial" w:cs="Arial"/>
              </w:rPr>
              <w:t xml:space="preserve"> will rate</w:t>
            </w:r>
            <w:r>
              <w:rPr>
                <w:rFonts w:ascii="Arial" w:hAnsi="Arial" w:cs="Arial"/>
              </w:rPr>
              <w:t xml:space="preserve"> the students</w:t>
            </w:r>
            <w:r w:rsidRPr="00E3280B">
              <w:rPr>
                <w:rFonts w:ascii="Arial" w:hAnsi="Arial" w:cs="Arial"/>
              </w:rPr>
              <w:t xml:space="preserve"> from </w:t>
            </w:r>
            <w:r>
              <w:rPr>
                <w:rFonts w:ascii="Arial" w:hAnsi="Arial" w:cs="Arial"/>
              </w:rPr>
              <w:t>a</w:t>
            </w:r>
            <w:r w:rsidRPr="00E3280B">
              <w:rPr>
                <w:rFonts w:ascii="Arial" w:hAnsi="Arial" w:cs="Arial"/>
              </w:rPr>
              <w:t xml:space="preserve">verage to </w:t>
            </w:r>
            <w:r>
              <w:rPr>
                <w:rFonts w:ascii="Arial" w:hAnsi="Arial" w:cs="Arial"/>
              </w:rPr>
              <w:t>e</w:t>
            </w:r>
            <w:r w:rsidRPr="00E3280B">
              <w:rPr>
                <w:rFonts w:ascii="Arial" w:hAnsi="Arial" w:cs="Arial"/>
              </w:rPr>
              <w:t xml:space="preserve">xceptional </w:t>
            </w:r>
            <w:r>
              <w:rPr>
                <w:rFonts w:ascii="Arial" w:hAnsi="Arial" w:cs="Arial"/>
              </w:rPr>
              <w:t>on a 4- point scale.</w:t>
            </w:r>
          </w:p>
          <w:p w:rsidR="004B23C0" w:rsidRPr="00E3280B" w:rsidRDefault="00636A5A" w:rsidP="0063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completed </w:t>
            </w:r>
            <w:r w:rsidRPr="001B05B0">
              <w:rPr>
                <w:rFonts w:ascii="Arial" w:hAnsi="Arial" w:cs="Arial"/>
                <w:b/>
              </w:rPr>
              <w:t>CAP</w:t>
            </w:r>
            <w:r>
              <w:rPr>
                <w:rFonts w:ascii="Arial" w:hAnsi="Arial" w:cs="Arial"/>
              </w:rPr>
              <w:t xml:space="preserve"> will be presented during the Capstone course either HAMG 2305 or TRVM 2333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4B23C0" w:rsidRPr="00E3280B" w:rsidRDefault="004B23C0" w:rsidP="004B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goal will be to have students turning in CAP </w:t>
            </w:r>
            <w:proofErr w:type="spellStart"/>
            <w:r>
              <w:rPr>
                <w:rFonts w:ascii="Arial" w:hAnsi="Arial" w:cs="Arial"/>
              </w:rPr>
              <w:t>requirements</w:t>
            </w:r>
            <w:r w:rsidR="00636A5A">
              <w:rPr>
                <w:rFonts w:ascii="Arial" w:hAnsi="Arial" w:cs="Arial"/>
              </w:rPr>
              <w:t>for</w:t>
            </w:r>
            <w:proofErr w:type="spellEnd"/>
            <w:r w:rsidR="00636A5A">
              <w:rPr>
                <w:rFonts w:ascii="Arial" w:hAnsi="Arial" w:cs="Arial"/>
              </w:rPr>
              <w:t xml:space="preserve"> the 6 sections</w:t>
            </w:r>
            <w:r>
              <w:rPr>
                <w:rFonts w:ascii="Arial" w:hAnsi="Arial" w:cs="Arial"/>
              </w:rPr>
              <w:t xml:space="preserve"> that merit an above average score, 3 to 4 points per course, 18-24 total points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B23C0" w:rsidRDefault="004B23C0" w:rsidP="00721711"/>
        </w:tc>
      </w:tr>
      <w:tr w:rsidR="00636A5A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36A5A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Apply critical thinking and problem solving skills</w:t>
            </w:r>
          </w:p>
          <w:p w:rsidR="00636A5A" w:rsidRPr="00E3280B" w:rsidRDefault="00636A5A" w:rsidP="00922C21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 and written exams in various hotel and restaurant management classes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36A5A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average score that each class will obtain on exams is </w:t>
            </w:r>
            <w:r w:rsidRPr="00E3280B">
              <w:rPr>
                <w:rFonts w:ascii="Arial" w:hAnsi="Arial" w:cs="Arial"/>
                <w:b/>
              </w:rPr>
              <w:t>75%</w:t>
            </w:r>
            <w:r>
              <w:rPr>
                <w:rFonts w:ascii="Arial" w:hAnsi="Arial" w:cs="Arial"/>
              </w:rPr>
              <w:t xml:space="preserve"> or higher</w:t>
            </w:r>
          </w:p>
          <w:p w:rsidR="00636A5A" w:rsidRPr="00E3280B" w:rsidRDefault="00636A5A" w:rsidP="00922C21">
            <w:pPr>
              <w:rPr>
                <w:rFonts w:ascii="Arial" w:hAnsi="Arial" w:cs="Arial"/>
              </w:rPr>
            </w:pPr>
          </w:p>
        </w:tc>
      </w:tr>
      <w:tr w:rsidR="00636A5A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 Demonstrate an ability to communicate both in writing and verbally in a professional manner</w:t>
            </w:r>
          </w:p>
        </w:tc>
        <w:tc>
          <w:tcPr>
            <w:tcW w:w="4800" w:type="dxa"/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course project work in a professional format. Present all projects in a professional manner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36A5A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work turned in on time, utilizing correct spelling and grammar. The average score that each class will obtain in the area of individual or project work is </w:t>
            </w:r>
            <w:r>
              <w:rPr>
                <w:rFonts w:ascii="Arial" w:hAnsi="Arial" w:cs="Arial"/>
                <w:b/>
              </w:rPr>
              <w:t>75%</w:t>
            </w:r>
            <w:r>
              <w:rPr>
                <w:rFonts w:ascii="Arial" w:hAnsi="Arial" w:cs="Arial"/>
              </w:rPr>
              <w:t xml:space="preserve"> or higher</w:t>
            </w:r>
          </w:p>
          <w:p w:rsidR="00636A5A" w:rsidRPr="00E3280B" w:rsidRDefault="00636A5A" w:rsidP="00922C21">
            <w:pPr>
              <w:rPr>
                <w:rFonts w:ascii="Arial" w:hAnsi="Arial" w:cs="Arial"/>
              </w:rPr>
            </w:pPr>
          </w:p>
        </w:tc>
      </w:tr>
      <w:tr w:rsidR="00636A5A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Complete capstone:  Apply skills and knowledge acquired in hotel and restaurant or meeting &amp; event planning classes</w:t>
            </w:r>
          </w:p>
        </w:tc>
        <w:tc>
          <w:tcPr>
            <w:tcW w:w="4800" w:type="dxa"/>
          </w:tcPr>
          <w:p w:rsidR="00636A5A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Collaborative student project for HAMG 2305 and </w:t>
            </w:r>
          </w:p>
          <w:p w:rsidR="00636A5A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TRVM 2333 </w:t>
            </w:r>
          </w:p>
          <w:p w:rsidR="00636A5A" w:rsidRDefault="00636A5A" w:rsidP="00922C21">
            <w:pPr>
              <w:rPr>
                <w:rFonts w:ascii="Arial" w:hAnsi="Arial" w:cs="Arial"/>
              </w:rPr>
            </w:pPr>
          </w:p>
          <w:p w:rsidR="00636A5A" w:rsidRPr="001A424E" w:rsidRDefault="00636A5A" w:rsidP="00922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Completion of </w:t>
            </w:r>
            <w:r w:rsidRPr="001A424E">
              <w:rPr>
                <w:rFonts w:ascii="Arial" w:hAnsi="Arial" w:cs="Arial"/>
                <w:b/>
              </w:rPr>
              <w:t>CAP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36A5A" w:rsidRPr="00E3280B" w:rsidRDefault="00636A5A" w:rsidP="00922C21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36A5A" w:rsidRDefault="00636A5A" w:rsidP="0092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complete all the requirements of HAMG 2305 or TRVM  2333 with a grade of C or higher</w:t>
            </w:r>
          </w:p>
          <w:p w:rsidR="00636A5A" w:rsidRPr="001F5CD3" w:rsidRDefault="00636A5A" w:rsidP="00922C21">
            <w:pPr>
              <w:rPr>
                <w:rFonts w:ascii="Arial" w:hAnsi="Arial" w:cs="Arial"/>
              </w:rPr>
            </w:pP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636A5A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Hotel/Restaurant Management or Meetings &amp; Event Planning students will construct a capstone portfolio which illustrates basic skills and knowledge, including, but not limited to the following: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profile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showing impact of hotel/restaurant design, financial management, and legal issues regarding liability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</w:t>
            </w:r>
            <w:proofErr w:type="spellStart"/>
            <w:r>
              <w:rPr>
                <w:rFonts w:ascii="Arial" w:hAnsi="Arial" w:cs="Arial"/>
              </w:rPr>
              <w:t>management,such</w:t>
            </w:r>
            <w:proofErr w:type="spellEnd"/>
            <w:r>
              <w:rPr>
                <w:rFonts w:ascii="Arial" w:hAnsi="Arial" w:cs="Arial"/>
              </w:rPr>
              <w:t xml:space="preserve"> as job descriptions, interviewing, hiring, recruiting and staff discipline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policy manual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ServSafe</w:t>
            </w:r>
            <w:proofErr w:type="spellEnd"/>
            <w:r>
              <w:rPr>
                <w:rFonts w:ascii="Arial" w:hAnsi="Arial" w:cs="Arial"/>
              </w:rPr>
              <w:t xml:space="preserve"> Certification @75% or above</w:t>
            </w:r>
          </w:p>
          <w:p w:rsidR="00636A5A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paper analyzing impact of Front office procedures, including rooms division, concierge, uniform services, and housekeeping</w:t>
            </w:r>
          </w:p>
          <w:p w:rsidR="00636A5A" w:rsidRPr="00885049" w:rsidRDefault="00636A5A" w:rsidP="00922C21">
            <w:pPr>
              <w:numPr>
                <w:ilvl w:val="0"/>
                <w:numId w:val="7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Bouus</w:t>
            </w:r>
            <w:proofErr w:type="spellEnd"/>
            <w:r>
              <w:rPr>
                <w:rFonts w:ascii="Arial" w:hAnsi="Arial" w:cs="Arial"/>
              </w:rPr>
              <w:t>: Certified Tourism Ambassador (Certification) and American Hotel and Lodging Association certificate exams</w:t>
            </w:r>
          </w:p>
        </w:tc>
        <w:tc>
          <w:tcPr>
            <w:tcW w:w="2389" w:type="dxa"/>
          </w:tcPr>
          <w:p w:rsidR="00636A5A" w:rsidRDefault="00D25047" w:rsidP="00C564FC">
            <w:r>
              <w:t>See action plan for competency #3.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636A5A" w:rsidRPr="008A433C" w:rsidRDefault="00030AB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36A5A" w:rsidRDefault="00232392" w:rsidP="00FB611C">
            <w:r>
              <w:t>The portfolio average score was 82.5, exceeding the 75% standard.  Only 1 student fell below with a 71%.  Half had a score of 88% or above.</w:t>
            </w:r>
          </w:p>
        </w:tc>
        <w:tc>
          <w:tcPr>
            <w:tcW w:w="2389" w:type="dxa"/>
          </w:tcPr>
          <w:p w:rsidR="00636A5A" w:rsidRDefault="00232392" w:rsidP="00FD615B">
            <w:r>
              <w:t>Standard met.  Students were able to complete the portfolio per the instructors’ syllabi.</w:t>
            </w:r>
          </w:p>
        </w:tc>
      </w:tr>
      <w:tr w:rsidR="00636A5A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36A5A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Apply critical thinking and problem solving skills</w:t>
            </w:r>
          </w:p>
          <w:p w:rsidR="00636A5A" w:rsidRPr="00E3280B" w:rsidRDefault="00636A5A" w:rsidP="00922C21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636A5A" w:rsidRDefault="00D25047" w:rsidP="00814613">
            <w:r>
              <w:t>See action plan for competency #3.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636A5A" w:rsidRPr="008A433C" w:rsidRDefault="00030AB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36A5A" w:rsidRDefault="00232392" w:rsidP="006C113F">
            <w:r>
              <w:t xml:space="preserve">Students performed </w:t>
            </w:r>
            <w:r w:rsidR="006C113F">
              <w:t xml:space="preserve">very well </w:t>
            </w:r>
            <w:r>
              <w:t xml:space="preserve">in </w:t>
            </w:r>
            <w:r w:rsidR="006C113F">
              <w:t xml:space="preserve">off-site management &amp; service learning situations with an average of 96.6% and 94.5% respectively. </w:t>
            </w:r>
          </w:p>
        </w:tc>
        <w:tc>
          <w:tcPr>
            <w:tcW w:w="2389" w:type="dxa"/>
          </w:tcPr>
          <w:p w:rsidR="00636A5A" w:rsidRDefault="00232392" w:rsidP="00D11602">
            <w:r>
              <w:t>Students demonstrated critical thinking in resolving problems that arose.</w:t>
            </w:r>
          </w:p>
        </w:tc>
      </w:tr>
      <w:tr w:rsidR="00636A5A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36A5A" w:rsidRPr="00E3280B" w:rsidRDefault="00636A5A" w:rsidP="00922C21">
            <w:pPr>
              <w:rPr>
                <w:rFonts w:ascii="Arial" w:hAnsi="Arial" w:cs="Arial"/>
              </w:rPr>
            </w:pPr>
            <w:r w:rsidRPr="00E3280B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 Demonstrate an ability to communicate both in writing and verbally in a professional manner</w:t>
            </w:r>
          </w:p>
        </w:tc>
        <w:tc>
          <w:tcPr>
            <w:tcW w:w="2389" w:type="dxa"/>
          </w:tcPr>
          <w:p w:rsidR="00636A5A" w:rsidRDefault="006C113F" w:rsidP="006C113F">
            <w:r>
              <w:t xml:space="preserve">Written CAP Guidelines were given to each faculty and associate to ensure </w:t>
            </w:r>
            <w:proofErr w:type="gramStart"/>
            <w:r>
              <w:t>that associate faculty clearly impart</w:t>
            </w:r>
            <w:proofErr w:type="gramEnd"/>
            <w:r>
              <w:t xml:space="preserve"> their expectations to students regarding the Portfolio assignments in the instructor syllabus. Instructors will use intentional coaching regarding time management to help students keep on top of portfolio assignments. 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636A5A" w:rsidRPr="008A433C" w:rsidRDefault="00030AB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36A5A" w:rsidRDefault="006C113F" w:rsidP="00D11602">
            <w:r>
              <w:t xml:space="preserve">The presentation of the Career Application portfolio was the lowest area of performance, reflecting organization and time management. </w:t>
            </w:r>
          </w:p>
        </w:tc>
        <w:tc>
          <w:tcPr>
            <w:tcW w:w="2389" w:type="dxa"/>
          </w:tcPr>
          <w:p w:rsidR="00636A5A" w:rsidRDefault="00232392" w:rsidP="00232392">
            <w:r>
              <w:t>This area shows great improvement from the first semester to the last, but the verbal area needs additional improvement because of its importance to professionalism in the hospitality industry.</w:t>
            </w:r>
          </w:p>
        </w:tc>
      </w:tr>
      <w:tr w:rsidR="00636A5A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36A5A" w:rsidRDefault="00636A5A" w:rsidP="00760D1E">
            <w:pPr>
              <w:jc w:val="both"/>
            </w:pPr>
            <w:r w:rsidRPr="00E328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Complete capstone:  Apply skills and knowledge acquired in hotel and restaurant or meeting &amp; event planning classes</w:t>
            </w:r>
          </w:p>
        </w:tc>
        <w:tc>
          <w:tcPr>
            <w:tcW w:w="2389" w:type="dxa"/>
          </w:tcPr>
          <w:p w:rsidR="00D25047" w:rsidRDefault="00D25047" w:rsidP="00D25047">
            <w:r>
              <w:t>See action plan for competency #3.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636A5A" w:rsidRDefault="00030AB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36A5A" w:rsidRDefault="00232392" w:rsidP="006C113F">
            <w:r>
              <w:t>The Career Application Portfolio was completed by all the students</w:t>
            </w:r>
            <w:r w:rsidR="006C113F">
              <w:t xml:space="preserve">; their off-site </w:t>
            </w:r>
            <w:proofErr w:type="gramStart"/>
            <w:r w:rsidR="006C113F">
              <w:t xml:space="preserve">observation </w:t>
            </w:r>
            <w:r>
              <w:t xml:space="preserve"> </w:t>
            </w:r>
            <w:r w:rsidR="006C113F">
              <w:t>rating</w:t>
            </w:r>
            <w:proofErr w:type="gramEnd"/>
            <w:r w:rsidR="006C113F">
              <w:t xml:space="preserve"> scores averaged 96.6%.</w:t>
            </w:r>
          </w:p>
        </w:tc>
        <w:tc>
          <w:tcPr>
            <w:tcW w:w="2389" w:type="dxa"/>
          </w:tcPr>
          <w:p w:rsidR="00636A5A" w:rsidRDefault="00232392" w:rsidP="00232392">
            <w:r>
              <w:t>Being better organized &amp; staying on top of the work needs improvement; Time management is part of it.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41" w:rsidRDefault="00D42041" w:rsidP="00CC108B">
      <w:r>
        <w:separator/>
      </w:r>
    </w:p>
  </w:endnote>
  <w:endnote w:type="continuationSeparator" w:id="0">
    <w:p w:rsidR="00D42041" w:rsidRDefault="00D42041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41" w:rsidRDefault="00D42041" w:rsidP="00CC108B">
      <w:r>
        <w:separator/>
      </w:r>
    </w:p>
  </w:footnote>
  <w:footnote w:type="continuationSeparator" w:id="0">
    <w:p w:rsidR="00D42041" w:rsidRDefault="00D42041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7DCA"/>
    <w:multiLevelType w:val="hybridMultilevel"/>
    <w:tmpl w:val="F0BE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0AB6"/>
    <w:rsid w:val="00037B52"/>
    <w:rsid w:val="000B6C14"/>
    <w:rsid w:val="000C530A"/>
    <w:rsid w:val="00100EBF"/>
    <w:rsid w:val="001D2959"/>
    <w:rsid w:val="001F6E44"/>
    <w:rsid w:val="0022084C"/>
    <w:rsid w:val="00232392"/>
    <w:rsid w:val="002746DE"/>
    <w:rsid w:val="00290C93"/>
    <w:rsid w:val="002E6ED4"/>
    <w:rsid w:val="00301A14"/>
    <w:rsid w:val="0034576D"/>
    <w:rsid w:val="00365043"/>
    <w:rsid w:val="003C3DD5"/>
    <w:rsid w:val="00457189"/>
    <w:rsid w:val="00482295"/>
    <w:rsid w:val="00490DB7"/>
    <w:rsid w:val="004B23C0"/>
    <w:rsid w:val="004F3DFD"/>
    <w:rsid w:val="00504E0D"/>
    <w:rsid w:val="00511962"/>
    <w:rsid w:val="00522777"/>
    <w:rsid w:val="005358DC"/>
    <w:rsid w:val="00547648"/>
    <w:rsid w:val="00562C06"/>
    <w:rsid w:val="005A7F1A"/>
    <w:rsid w:val="005D2016"/>
    <w:rsid w:val="005D6562"/>
    <w:rsid w:val="00636A5A"/>
    <w:rsid w:val="00675C43"/>
    <w:rsid w:val="00695C19"/>
    <w:rsid w:val="006B011A"/>
    <w:rsid w:val="006C113F"/>
    <w:rsid w:val="006C6753"/>
    <w:rsid w:val="006D27CC"/>
    <w:rsid w:val="006F6F15"/>
    <w:rsid w:val="007029BA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D5F98"/>
    <w:rsid w:val="008F25C4"/>
    <w:rsid w:val="00930A88"/>
    <w:rsid w:val="0096597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64C55"/>
    <w:rsid w:val="00B768CB"/>
    <w:rsid w:val="00B769C3"/>
    <w:rsid w:val="00B84D6C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108B"/>
    <w:rsid w:val="00CD43CF"/>
    <w:rsid w:val="00D11602"/>
    <w:rsid w:val="00D25047"/>
    <w:rsid w:val="00D42041"/>
    <w:rsid w:val="00DA4D26"/>
    <w:rsid w:val="00DB2268"/>
    <w:rsid w:val="00DB6B77"/>
    <w:rsid w:val="00DF6B38"/>
    <w:rsid w:val="00E02638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F9D3-D200-480A-B192-6FB3E0D8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6</cp:revision>
  <cp:lastPrinted>2012-12-14T20:10:00Z</cp:lastPrinted>
  <dcterms:created xsi:type="dcterms:W3CDTF">2014-09-02T17:48:00Z</dcterms:created>
  <dcterms:modified xsi:type="dcterms:W3CDTF">2014-09-02T22:28:00Z</dcterms:modified>
</cp:coreProperties>
</file>