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1F6E44">
      <w:pPr>
        <w:tabs>
          <w:tab w:val="right" w:leader="underscore" w:pos="3168"/>
          <w:tab w:val="left" w:pos="3240"/>
          <w:tab w:val="right" w:leader="underscore" w:pos="14310"/>
        </w:tabs>
      </w:pPr>
      <w:proofErr w:type="gramStart"/>
      <w:r w:rsidRPr="008D5F98">
        <w:rPr>
          <w:b/>
        </w:rPr>
        <w:t>Date</w:t>
      </w:r>
      <w:r w:rsidR="00670DFD">
        <w:rPr>
          <w:b/>
        </w:rPr>
        <w:t xml:space="preserve">  </w:t>
      </w:r>
      <w:r w:rsidR="00670DFD" w:rsidRPr="00670DFD">
        <w:rPr>
          <w:u w:val="single"/>
        </w:rPr>
        <w:t>2012</w:t>
      </w:r>
      <w:proofErr w:type="gramEnd"/>
      <w:r w:rsidR="00670DFD" w:rsidRPr="00670DFD">
        <w:rPr>
          <w:u w:val="single"/>
        </w:rPr>
        <w:t>-13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Unit:</w:t>
      </w:r>
      <w:r w:rsidR="000B6C14">
        <w:rPr>
          <w:b/>
        </w:rPr>
        <w:t xml:space="preserve">   </w:t>
      </w:r>
      <w:r w:rsidR="00B768CB" w:rsidRPr="006B5082">
        <w:rPr>
          <w:rFonts w:ascii="Cambria" w:hAnsi="Cambria"/>
          <w:u w:val="single"/>
        </w:rPr>
        <w:t>__</w:t>
      </w:r>
      <w:r w:rsidR="00C44A8A">
        <w:rPr>
          <w:rFonts w:ascii="Cambria" w:hAnsi="Cambria"/>
          <w:u w:val="single"/>
        </w:rPr>
        <w:t>Convergence Technology</w:t>
      </w:r>
      <w:r w:rsidR="00C44A8A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</w:t>
      </w:r>
      <w:r w:rsidR="005D6562" w:rsidRPr="006B5082">
        <w:rPr>
          <w:rFonts w:ascii="Cambria" w:hAnsi="Cambria"/>
          <w:u w:val="single"/>
        </w:rPr>
        <w:t xml:space="preserve"> </w:t>
      </w:r>
      <w:r w:rsidR="00B768CB" w:rsidRPr="006B5082">
        <w:rPr>
          <w:rFonts w:ascii="Cambria" w:hAnsi="Cambria"/>
          <w:u w:val="single"/>
        </w:rPr>
        <w:t>__________</w:t>
      </w:r>
      <w:r w:rsidR="008D5F98" w:rsidRPr="00482295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0B6C14">
        <w:t xml:space="preserve"> </w:t>
      </w:r>
      <w:r w:rsidR="00675C43">
        <w:t xml:space="preserve">  </w:t>
      </w:r>
      <w:r w:rsidR="00C44A8A" w:rsidRPr="00C44A8A">
        <w:rPr>
          <w:u w:val="single"/>
        </w:rPr>
        <w:t>Pete Brierl</w:t>
      </w:r>
      <w:r w:rsidR="00C44A8A">
        <w:rPr>
          <w:u w:val="single"/>
        </w:rPr>
        <w:t>e</w:t>
      </w:r>
      <w:r w:rsidR="00C44A8A" w:rsidRPr="00C44A8A">
        <w:rPr>
          <w:u w:val="single"/>
        </w:rPr>
        <w:t>y</w:t>
      </w:r>
      <w:r w:rsidR="00B768CB" w:rsidRPr="00675C43">
        <w:rPr>
          <w:u w:val="single"/>
        </w:rPr>
        <w:tab/>
      </w:r>
      <w:r w:rsidR="008D5F98">
        <w:tab/>
      </w:r>
      <w:r w:rsidR="00CC108B" w:rsidRPr="008D5F98">
        <w:rPr>
          <w:b/>
        </w:rPr>
        <w:t>Contact email:</w:t>
      </w:r>
      <w:r w:rsidR="005D6562">
        <w:rPr>
          <w:b/>
        </w:rPr>
        <w:t xml:space="preserve">  </w:t>
      </w:r>
      <w:hyperlink r:id="rId9" w:history="1">
        <w:r w:rsidR="00C44A8A" w:rsidRPr="00E7506C">
          <w:rPr>
            <w:rStyle w:val="Hyperlink"/>
            <w:sz w:val="20"/>
          </w:rPr>
          <w:t>PBrierley@collin.edu</w:t>
        </w:r>
      </w:hyperlink>
      <w:r w:rsidR="00C44A8A">
        <w:rPr>
          <w:u w:val="single"/>
        </w:rPr>
        <w:t xml:space="preserve">  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670DFD" w:rsidRDefault="006F6F15" w:rsidP="00670DFD">
      <w:pPr>
        <w:autoSpaceDE w:val="0"/>
        <w:autoSpaceDN w:val="0"/>
        <w:adjustRightInd w:val="0"/>
        <w:rPr>
          <w:rFonts w:ascii="ArialRegular" w:eastAsia="Times New Roman" w:hAnsi="ArialRegular" w:cs="ArialRegular"/>
          <w:sz w:val="18"/>
          <w:szCs w:val="18"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6F6F15" w:rsidRPr="00670DFD" w:rsidTr="00FE3EE9">
        <w:trPr>
          <w:trHeight w:val="1152"/>
          <w:jc w:val="center"/>
        </w:trPr>
        <w:tc>
          <w:tcPr>
            <w:tcW w:w="14400" w:type="dxa"/>
          </w:tcPr>
          <w:p w:rsidR="00BB3ECB" w:rsidRDefault="005D6562" w:rsidP="00BB3ECB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 w:rsidRPr="00670DFD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BB3ECB">
              <w:rPr>
                <w:rFonts w:ascii="ArialRegular" w:hAnsi="ArialRegular" w:cs="ArialRegular"/>
                <w:sz w:val="18"/>
                <w:szCs w:val="18"/>
              </w:rPr>
              <w:t>Collin's Convergence Technology program introduces the "triple play" combining voice, video and integrated data over an</w:t>
            </w:r>
            <w:r w:rsidR="00BB3ECB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BB3ECB">
              <w:rPr>
                <w:rFonts w:ascii="ArialRegular" w:hAnsi="ArialRegular" w:cs="ArialRegular"/>
                <w:sz w:val="18"/>
                <w:szCs w:val="18"/>
              </w:rPr>
              <w:t>IP network. The program focuses on key content in all three areas and gives students experience in solving real-world</w:t>
            </w:r>
            <w:r w:rsidR="00BB3ECB">
              <w:rPr>
                <w:rFonts w:ascii="ArialRegular" w:hAnsi="ArialRegular" w:cs="ArialRegular"/>
                <w:sz w:val="18"/>
                <w:szCs w:val="18"/>
              </w:rPr>
              <w:t xml:space="preserve"> </w:t>
            </w:r>
            <w:r w:rsidR="00BB3ECB">
              <w:rPr>
                <w:rFonts w:ascii="ArialRegular" w:hAnsi="ArialRegular" w:cs="ArialRegular"/>
                <w:sz w:val="18"/>
                <w:szCs w:val="18"/>
              </w:rPr>
              <w:t>problems through case study courses.</w:t>
            </w:r>
          </w:p>
          <w:p w:rsidR="00BB3ECB" w:rsidRDefault="00BB3ECB" w:rsidP="00BB3ECB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Convergence is:</w:t>
            </w:r>
          </w:p>
          <w:p w:rsidR="00BB3ECB" w:rsidRDefault="00BB3ECB" w:rsidP="00BB3ECB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-The blending or integration of voice, video, and data into a single but flexible global communications network.</w:t>
            </w:r>
          </w:p>
          <w:p w:rsidR="006F6F15" w:rsidRPr="00670DFD" w:rsidRDefault="00BB3ECB" w:rsidP="00BB3ECB">
            <w:pPr>
              <w:autoSpaceDE w:val="0"/>
              <w:autoSpaceDN w:val="0"/>
              <w:adjustRightInd w:val="0"/>
              <w:rPr>
                <w:rFonts w:ascii="ArialRegular" w:hAnsi="ArialRegular" w:cs="ArialRegular"/>
                <w:sz w:val="18"/>
                <w:szCs w:val="18"/>
              </w:rPr>
            </w:pPr>
            <w:r>
              <w:rPr>
                <w:rFonts w:ascii="ArialRegular" w:hAnsi="ArialRegular" w:cs="ArialRegular"/>
                <w:sz w:val="18"/>
                <w:szCs w:val="18"/>
              </w:rPr>
              <w:t>-The merging together of products and capabilities of multiple vendors to create an integrated solution for the customer.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BB3ECB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B3ECB" w:rsidRPr="00691CFB" w:rsidRDefault="00BB3ECB" w:rsidP="00BB3ECB">
            <w:r w:rsidRPr="00691041">
              <w:rPr>
                <w:rFonts w:cs="Arial"/>
              </w:rPr>
              <w:t>1.</w:t>
            </w:r>
            <w:r w:rsidRPr="00691041">
              <w:t xml:space="preserve">  Demonstrate profic</w:t>
            </w:r>
            <w:r>
              <w:t>iency in Wide Area Networks</w:t>
            </w:r>
            <w:r w:rsidRPr="00691041">
              <w:t xml:space="preserve"> (ITCC 2310 -CCNA 4).</w:t>
            </w:r>
          </w:p>
        </w:tc>
        <w:tc>
          <w:tcPr>
            <w:tcW w:w="4800" w:type="dxa"/>
          </w:tcPr>
          <w:p w:rsidR="00BB3ECB" w:rsidRPr="00691041" w:rsidRDefault="00BB3ECB" w:rsidP="00BB3ECB">
            <w:pPr>
              <w:ind w:left="360"/>
            </w:pPr>
            <w:r w:rsidRPr="00691041">
              <w:t>Final Written and Skills Exam in ITCC 2310.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B3ECB" w:rsidRPr="00691041" w:rsidRDefault="00BB3ECB" w:rsidP="00BB3ECB">
            <w:pPr>
              <w:ind w:left="360"/>
            </w:pPr>
            <w:r>
              <w:t xml:space="preserve">Wide Area Networks </w:t>
            </w:r>
            <w:r w:rsidRPr="00691041">
              <w:t>Rubric</w:t>
            </w:r>
          </w:p>
          <w:p w:rsidR="00BB3ECB" w:rsidRPr="00691041" w:rsidRDefault="00BB3ECB" w:rsidP="00BB3ECB">
            <w:pPr>
              <w:ind w:left="360"/>
            </w:pPr>
            <w:r w:rsidRPr="00691041">
              <w:t xml:space="preserve">(Min. 70% on </w:t>
            </w:r>
          </w:p>
          <w:p w:rsidR="00BB3ECB" w:rsidRPr="00691041" w:rsidRDefault="00BB3ECB" w:rsidP="00BB3ECB">
            <w:pPr>
              <w:ind w:left="360"/>
            </w:pPr>
            <w:r w:rsidRPr="00691041">
              <w:t>Assessment)</w:t>
            </w:r>
          </w:p>
        </w:tc>
      </w:tr>
      <w:tr w:rsidR="00BB3ECB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B3ECB" w:rsidRPr="00691041" w:rsidRDefault="00BB3ECB" w:rsidP="00BB3ECB">
            <w:pPr>
              <w:autoSpaceDE w:val="0"/>
              <w:autoSpaceDN w:val="0"/>
              <w:adjustRightInd w:val="0"/>
            </w:pPr>
            <w:r>
              <w:t xml:space="preserve"> 2. Demonstrate</w:t>
            </w:r>
            <w:r w:rsidRPr="00691041">
              <w:t xml:space="preserve"> business and    </w:t>
            </w:r>
          </w:p>
          <w:p w:rsidR="00BB3ECB" w:rsidRPr="00691041" w:rsidRDefault="00BB3ECB" w:rsidP="00BB3ECB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 w:rsidRPr="00691041">
              <w:t>technical</w:t>
            </w:r>
            <w:proofErr w:type="gramEnd"/>
            <w:r w:rsidRPr="00691041">
              <w:t xml:space="preserve"> skills learned </w:t>
            </w:r>
            <w:r>
              <w:t xml:space="preserve"> </w:t>
            </w:r>
            <w:r w:rsidRPr="00691041">
              <w:t xml:space="preserve"> throughout the Convergence Technology Program through a </w:t>
            </w:r>
            <w:r>
              <w:t xml:space="preserve"> Case Study Analysis </w:t>
            </w:r>
            <w:r w:rsidRPr="00691041">
              <w:t xml:space="preserve">Capstone). </w:t>
            </w:r>
            <w:r>
              <w:t xml:space="preserve"> </w:t>
            </w:r>
            <w:r w:rsidRPr="00691041">
              <w:t xml:space="preserve">The </w:t>
            </w:r>
            <w:r>
              <w:t xml:space="preserve">analysis will include </w:t>
            </w:r>
            <w:proofErr w:type="gramStart"/>
            <w:r>
              <w:t xml:space="preserve">a  </w:t>
            </w:r>
            <w:proofErr w:type="gramEnd"/>
            <w:r>
              <w:br/>
              <w:t>demonstration of project  m</w:t>
            </w:r>
            <w:r w:rsidRPr="00691041">
              <w:t>anagement, design,</w:t>
            </w:r>
            <w:r>
              <w:t xml:space="preserve"> development, documentation, </w:t>
            </w:r>
            <w:r w:rsidRPr="00691041">
              <w:t xml:space="preserve">and a live professionally  delivered presentation and </w:t>
            </w:r>
            <w:r>
              <w:t>demonstration of the results</w:t>
            </w:r>
            <w:r w:rsidRPr="00691041">
              <w:t xml:space="preserve"> achieved. The presentation will </w:t>
            </w:r>
          </w:p>
          <w:p w:rsidR="00BB3ECB" w:rsidRPr="00691041" w:rsidRDefault="00BB3ECB" w:rsidP="00BB3EC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691041">
              <w:t>be</w:t>
            </w:r>
            <w:proofErr w:type="gramEnd"/>
            <w:r w:rsidRPr="00691041">
              <w:t xml:space="preserve"> delivered to an audience of peers, college faculty and business partners.</w:t>
            </w:r>
          </w:p>
        </w:tc>
        <w:tc>
          <w:tcPr>
            <w:tcW w:w="4800" w:type="dxa"/>
          </w:tcPr>
          <w:p w:rsidR="00BB3ECB" w:rsidRPr="00691041" w:rsidRDefault="00BB3ECB" w:rsidP="00BB3ECB">
            <w:pPr>
              <w:ind w:left="360"/>
            </w:pPr>
            <w:r w:rsidRPr="00691041">
              <w:t>Final Demonstration and Presentation in ITNW 2371.</w:t>
            </w:r>
          </w:p>
          <w:p w:rsidR="00BB3ECB" w:rsidRPr="00691041" w:rsidRDefault="00BB3ECB" w:rsidP="00BB3ECB">
            <w:pPr>
              <w:ind w:left="360"/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B3ECB" w:rsidRPr="00691041" w:rsidRDefault="00BB3ECB" w:rsidP="00BB3ECB">
            <w:pPr>
              <w:ind w:left="360"/>
            </w:pPr>
            <w:r>
              <w:t xml:space="preserve">Case Study </w:t>
            </w:r>
            <w:r w:rsidRPr="00691041">
              <w:t>Rubric</w:t>
            </w:r>
          </w:p>
          <w:p w:rsidR="00BB3ECB" w:rsidRPr="00691041" w:rsidRDefault="00BB3ECB" w:rsidP="00BB3ECB">
            <w:pPr>
              <w:ind w:left="360"/>
            </w:pPr>
            <w:r w:rsidRPr="00691041">
              <w:t xml:space="preserve">(Min. 70% on </w:t>
            </w:r>
          </w:p>
          <w:p w:rsidR="00BB3ECB" w:rsidRPr="00691041" w:rsidRDefault="00BB3ECB" w:rsidP="00BB3ECB">
            <w:pPr>
              <w:ind w:left="360"/>
            </w:pPr>
            <w:r w:rsidRPr="00691041">
              <w:t>Assessment)</w:t>
            </w:r>
          </w:p>
        </w:tc>
      </w:tr>
      <w:tr w:rsidR="00BB3ECB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BB3ECB" w:rsidRPr="00691041" w:rsidRDefault="00BB3ECB" w:rsidP="00BB3ECB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Pr="00691041">
              <w:t xml:space="preserve">Develop and install a working VOIP </w:t>
            </w:r>
            <w:proofErr w:type="gramStart"/>
            <w:r w:rsidRPr="00691041">
              <w:t>telephony  network</w:t>
            </w:r>
            <w:proofErr w:type="gramEnd"/>
            <w:r w:rsidRPr="00691041">
              <w:t>.</w:t>
            </w:r>
          </w:p>
        </w:tc>
        <w:tc>
          <w:tcPr>
            <w:tcW w:w="4800" w:type="dxa"/>
          </w:tcPr>
          <w:p w:rsidR="00BB3ECB" w:rsidRPr="00691041" w:rsidRDefault="00BB3ECB" w:rsidP="00BB3ECB">
            <w:pPr>
              <w:ind w:left="168"/>
            </w:pPr>
            <w:r w:rsidRPr="00691041">
              <w:t xml:space="preserve">1/ Final Written Exam emphasizing telephone services router configurations </w:t>
            </w:r>
            <w:proofErr w:type="gramStart"/>
            <w:r w:rsidRPr="00691041">
              <w:t>in  EECT</w:t>
            </w:r>
            <w:proofErr w:type="gramEnd"/>
            <w:r w:rsidRPr="00691041">
              <w:t xml:space="preserve"> 1371. </w:t>
            </w:r>
          </w:p>
          <w:p w:rsidR="00BB3ECB" w:rsidRPr="00691041" w:rsidRDefault="00BB3ECB" w:rsidP="00BB3ECB">
            <w:pPr>
              <w:ind w:left="168"/>
            </w:pPr>
            <w:r w:rsidRPr="00691041">
              <w:t>2/ Final Lab Exam that is professionally documented demonstrating a workable VOIP network in EECT 1371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BB3ECB" w:rsidRPr="00691041" w:rsidRDefault="00BB3ECB" w:rsidP="00BB3ECB">
            <w:pPr>
              <w:ind w:left="101" w:hanging="259"/>
            </w:pPr>
            <w:r>
              <w:t xml:space="preserve">   VOIP</w:t>
            </w:r>
            <w:r w:rsidRPr="00691041">
              <w:t xml:space="preserve">  </w:t>
            </w:r>
            <w:r>
              <w:t>Lecture Exam Key</w:t>
            </w:r>
          </w:p>
          <w:p w:rsidR="00BB3ECB" w:rsidRPr="00691041" w:rsidRDefault="00BB3ECB" w:rsidP="00BB3ECB">
            <w:pPr>
              <w:ind w:hanging="259"/>
            </w:pPr>
            <w:r>
              <w:t>(    M</w:t>
            </w:r>
            <w:r w:rsidRPr="00691041">
              <w:t>in. 70% on    Assessment)</w:t>
            </w:r>
          </w:p>
          <w:p w:rsidR="00BB3ECB" w:rsidRDefault="00BB3ECB" w:rsidP="00BB3ECB">
            <w:pPr>
              <w:ind w:left="360"/>
            </w:pPr>
          </w:p>
          <w:p w:rsidR="00BB3ECB" w:rsidRDefault="00BB3ECB" w:rsidP="00BB3ECB">
            <w:pPr>
              <w:ind w:left="360"/>
            </w:pPr>
          </w:p>
          <w:p w:rsidR="00BB3ECB" w:rsidRDefault="00BB3ECB" w:rsidP="00BB3ECB">
            <w:pPr>
              <w:ind w:left="360"/>
            </w:pPr>
          </w:p>
          <w:p w:rsidR="00BB3ECB" w:rsidRDefault="00BB3ECB" w:rsidP="00BB3ECB">
            <w:pPr>
              <w:jc w:val="both"/>
            </w:pPr>
            <w:r>
              <w:t>VOIP</w:t>
            </w:r>
            <w:r w:rsidRPr="00691041">
              <w:t xml:space="preserve">  </w:t>
            </w:r>
            <w:r>
              <w:t>Lab Exam Key</w:t>
            </w:r>
          </w:p>
          <w:p w:rsidR="00BB3ECB" w:rsidRPr="00691041" w:rsidRDefault="00BB3ECB" w:rsidP="00BB3ECB">
            <w:pPr>
              <w:ind w:hanging="259"/>
            </w:pPr>
            <w:r>
              <w:t>M</w:t>
            </w:r>
            <w:r w:rsidRPr="00691041">
              <w:t>in. 70% on    Assessment)</w:t>
            </w:r>
          </w:p>
          <w:p w:rsidR="00BB3ECB" w:rsidRDefault="00BB3ECB" w:rsidP="00BB3ECB">
            <w:pPr>
              <w:ind w:left="360"/>
            </w:pPr>
          </w:p>
          <w:p w:rsidR="00BB3ECB" w:rsidRPr="00691041" w:rsidRDefault="00BB3ECB" w:rsidP="00BB3ECB">
            <w:pPr>
              <w:jc w:val="both"/>
            </w:pPr>
          </w:p>
        </w:tc>
      </w:tr>
    </w:tbl>
    <w:p w:rsidR="001F6E44" w:rsidRDefault="001F6E44">
      <w:pPr>
        <w:rPr>
          <w:b/>
          <w:sz w:val="28"/>
          <w:szCs w:val="28"/>
        </w:rPr>
      </w:pPr>
    </w:p>
    <w:p w:rsidR="000B6C14" w:rsidRPr="00BB3ECB" w:rsidRDefault="00AE6060" w:rsidP="00482295">
      <w:pPr>
        <w:tabs>
          <w:tab w:val="right" w:leader="underscore" w:pos="5670"/>
          <w:tab w:val="left" w:pos="5760"/>
        </w:tabs>
        <w:spacing w:before="360"/>
        <w:rPr>
          <w:u w:val="single"/>
        </w:rPr>
      </w:pPr>
      <w:r w:rsidRPr="000B6C14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 w:rsidRPr="00BB3ECB">
        <w:rPr>
          <w:b/>
          <w:sz w:val="28"/>
          <w:szCs w:val="28"/>
          <w:u w:val="single"/>
        </w:rPr>
        <w:t xml:space="preserve">: </w:t>
      </w:r>
      <w:r w:rsidR="00E825E4" w:rsidRPr="00BB3ECB">
        <w:rPr>
          <w:b/>
          <w:sz w:val="28"/>
          <w:szCs w:val="28"/>
          <w:u w:val="single"/>
        </w:rPr>
        <w:t xml:space="preserve"> </w:t>
      </w:r>
      <w:r w:rsidR="00037B52" w:rsidRPr="00BB3ECB">
        <w:rPr>
          <w:b/>
          <w:u w:val="single"/>
        </w:rPr>
        <w:t>F</w:t>
      </w:r>
      <w:r w:rsidR="00E825E4" w:rsidRPr="00BB3ECB">
        <w:rPr>
          <w:b/>
          <w:u w:val="single"/>
        </w:rPr>
        <w:t xml:space="preserve">or academic year </w:t>
      </w:r>
      <w:r w:rsidR="00BB3ECB" w:rsidRPr="00BB3ECB">
        <w:rPr>
          <w:b/>
          <w:u w:val="single"/>
        </w:rPr>
        <w:t xml:space="preserve">  2012-13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91"/>
        <w:gridCol w:w="2387"/>
        <w:gridCol w:w="2389"/>
      </w:tblGrid>
      <w:tr w:rsidR="00FB611C" w:rsidRPr="00E90D55" w:rsidTr="00F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BB3ECB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B3ECB" w:rsidRPr="00691CFB" w:rsidRDefault="00BB3ECB" w:rsidP="0052023B">
            <w:r w:rsidRPr="00691041">
              <w:rPr>
                <w:rFonts w:cs="Arial"/>
              </w:rPr>
              <w:t>1.</w:t>
            </w:r>
            <w:r w:rsidRPr="00691041">
              <w:t xml:space="preserve">  Demonstrate profic</w:t>
            </w:r>
            <w:r>
              <w:t>iency in Wide Area Networks</w:t>
            </w:r>
            <w:r w:rsidRPr="00691041">
              <w:t xml:space="preserve"> (ITCC 2310 -CCNA 4).</w:t>
            </w:r>
          </w:p>
        </w:tc>
        <w:tc>
          <w:tcPr>
            <w:tcW w:w="2389" w:type="dxa"/>
          </w:tcPr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1 Per meeting minutes, in order to improve student understanding for the Skills Test and the Final Exam, implement</w:t>
            </w:r>
            <w:r>
              <w:rPr>
                <w:rFonts w:cs="Calibri"/>
                <w:color w:val="000000"/>
              </w:rPr>
              <w:t>ed</w:t>
            </w:r>
            <w:r w:rsidRPr="00EB5469">
              <w:rPr>
                <w:rFonts w:cs="Calibri"/>
                <w:color w:val="000000"/>
              </w:rPr>
              <w:t xml:space="preserve"> Comprehensive Skills Challenge Lab to review concepts in the course. </w:t>
            </w:r>
            <w:r>
              <w:rPr>
                <w:rFonts w:cs="Calibri"/>
                <w:color w:val="000000"/>
              </w:rPr>
              <w:t xml:space="preserve"> S</w:t>
            </w:r>
            <w:r w:rsidRPr="00EB5469">
              <w:rPr>
                <w:rFonts w:cs="Calibri"/>
                <w:color w:val="000000"/>
              </w:rPr>
              <w:t xml:space="preserve">tudents </w:t>
            </w:r>
            <w:r>
              <w:rPr>
                <w:rFonts w:cs="Calibri"/>
                <w:color w:val="000000"/>
              </w:rPr>
              <w:t xml:space="preserve">saw </w:t>
            </w:r>
            <w:r w:rsidRPr="00EB5469">
              <w:rPr>
                <w:rFonts w:cs="Calibri"/>
                <w:color w:val="000000"/>
              </w:rPr>
              <w:t xml:space="preserve">critical material multiple times prior to taking </w:t>
            </w:r>
            <w:r>
              <w:rPr>
                <w:rFonts w:cs="Calibri"/>
                <w:color w:val="000000"/>
              </w:rPr>
              <w:t xml:space="preserve">the Skills Test and Final Exam with </w:t>
            </w:r>
            <w:r w:rsidRPr="00EB5469">
              <w:rPr>
                <w:rFonts w:cs="Calibri"/>
                <w:color w:val="000000"/>
              </w:rPr>
              <w:t>improve</w:t>
            </w:r>
            <w:r>
              <w:rPr>
                <w:rFonts w:cs="Calibri"/>
                <w:color w:val="000000"/>
              </w:rPr>
              <w:t>d</w:t>
            </w:r>
            <w:r w:rsidRPr="00EB5469">
              <w:rPr>
                <w:rFonts w:cs="Calibri"/>
                <w:color w:val="000000"/>
              </w:rPr>
              <w:t xml:space="preserve"> understanding for both assessments. </w:t>
            </w:r>
          </w:p>
          <w:p w:rsidR="00BB3ECB" w:rsidRDefault="00BB3ECB" w:rsidP="00E0706F"/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B3ECB" w:rsidRPr="008A433C" w:rsidRDefault="001A61B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59DE">
              <w:rPr>
                <w:rFonts w:cs="Calibri"/>
                <w:color w:val="000000"/>
              </w:rPr>
              <w:t xml:space="preserve">1 Results: </w:t>
            </w:r>
            <w:r w:rsidRPr="00EB5469">
              <w:rPr>
                <w:rFonts w:cs="Calibri"/>
                <w:color w:val="000000"/>
              </w:rPr>
              <w:t xml:space="preserve">Met </w:t>
            </w:r>
          </w:p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A59DE">
              <w:rPr>
                <w:rFonts w:cs="Calibri"/>
                <w:color w:val="000000"/>
              </w:rPr>
              <w:t xml:space="preserve">Findings: </w:t>
            </w:r>
            <w:r w:rsidRPr="00EB5469">
              <w:rPr>
                <w:rFonts w:cs="Calibri"/>
                <w:color w:val="000000"/>
              </w:rPr>
              <w:t xml:space="preserve">Fall 2012, Spring 2012, and Summer 2012: </w:t>
            </w:r>
          </w:p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 xml:space="preserve">Skills Test- 106 out of 106 met std. Average= 94.9, High= 100, Low= 70 </w:t>
            </w:r>
          </w:p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 xml:space="preserve">Final- 96 out of 106 met std. Average= 80.7, High= 100, Low= 59 </w:t>
            </w:r>
          </w:p>
          <w:p w:rsidR="00BB3ECB" w:rsidRDefault="00BB3ECB" w:rsidP="009004B9"/>
        </w:tc>
        <w:tc>
          <w:tcPr>
            <w:tcW w:w="2389" w:type="dxa"/>
          </w:tcPr>
          <w:p w:rsidR="00BB3ECB" w:rsidRDefault="006B1A81" w:rsidP="00CD25DA">
            <w:r>
              <w:t>Met standard</w:t>
            </w:r>
          </w:p>
        </w:tc>
      </w:tr>
      <w:tr w:rsidR="00BB3ECB" w:rsidTr="00FD61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B3ECB" w:rsidRPr="00691041" w:rsidRDefault="00BB3ECB" w:rsidP="0052023B">
            <w:pPr>
              <w:autoSpaceDE w:val="0"/>
              <w:autoSpaceDN w:val="0"/>
              <w:adjustRightInd w:val="0"/>
            </w:pPr>
            <w:r>
              <w:t xml:space="preserve"> 2. Demonstrate</w:t>
            </w:r>
            <w:r w:rsidRPr="00691041">
              <w:t xml:space="preserve"> business and    </w:t>
            </w:r>
          </w:p>
          <w:p w:rsidR="00BB3ECB" w:rsidRPr="00691041" w:rsidRDefault="00BB3ECB" w:rsidP="0052023B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 w:rsidRPr="00691041">
              <w:t>technical</w:t>
            </w:r>
            <w:proofErr w:type="gramEnd"/>
            <w:r w:rsidRPr="00691041">
              <w:t xml:space="preserve"> skills learned </w:t>
            </w:r>
            <w:r>
              <w:t xml:space="preserve"> </w:t>
            </w:r>
            <w:r w:rsidRPr="00691041">
              <w:t xml:space="preserve"> throughout the Convergence Technology Program through a </w:t>
            </w:r>
            <w:r>
              <w:t xml:space="preserve"> Case Study Analysis </w:t>
            </w:r>
            <w:r w:rsidRPr="00691041">
              <w:t xml:space="preserve">Capstone). </w:t>
            </w:r>
            <w:r>
              <w:t xml:space="preserve"> </w:t>
            </w:r>
            <w:r w:rsidRPr="00691041">
              <w:t xml:space="preserve">The </w:t>
            </w:r>
            <w:r>
              <w:t xml:space="preserve">analysis will include </w:t>
            </w:r>
            <w:proofErr w:type="gramStart"/>
            <w:r>
              <w:t xml:space="preserve">a  </w:t>
            </w:r>
            <w:proofErr w:type="gramEnd"/>
            <w:r>
              <w:br/>
              <w:t>demonstration of project  m</w:t>
            </w:r>
            <w:r w:rsidRPr="00691041">
              <w:t>anagement, design,</w:t>
            </w:r>
            <w:r>
              <w:t xml:space="preserve"> development, documentation, </w:t>
            </w:r>
            <w:r w:rsidRPr="00691041">
              <w:t xml:space="preserve">and a live professionally  delivered presentation and </w:t>
            </w:r>
            <w:r>
              <w:t>demonstration of the results</w:t>
            </w:r>
            <w:r w:rsidRPr="00691041">
              <w:t xml:space="preserve"> achieved. The presentation will </w:t>
            </w:r>
          </w:p>
          <w:p w:rsidR="00BB3ECB" w:rsidRPr="00691041" w:rsidRDefault="00BB3ECB" w:rsidP="0052023B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691041">
              <w:t>be</w:t>
            </w:r>
            <w:proofErr w:type="gramEnd"/>
            <w:r w:rsidRPr="00691041">
              <w:t xml:space="preserve"> delivered to an audience of peers, college faculty and business partners.</w:t>
            </w:r>
          </w:p>
        </w:tc>
        <w:tc>
          <w:tcPr>
            <w:tcW w:w="2389" w:type="dxa"/>
          </w:tcPr>
          <w:p w:rsidR="00BB3ECB" w:rsidRDefault="006B1A81" w:rsidP="00814613">
            <w:r>
              <w:t>See action #1.</w:t>
            </w:r>
            <w:bookmarkStart w:id="0" w:name="_GoBack"/>
            <w:bookmarkEnd w:id="0"/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B3ECB" w:rsidRPr="008A433C" w:rsidRDefault="001A61B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 xml:space="preserve">2 Results: </w:t>
            </w:r>
          </w:p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 xml:space="preserve">Findings: Spring 2012: Project- 12 out of 12 met std. Average= 100, High= 100, Low= 100; Final- 12 out of 12 met std. Average= 90.8, </w:t>
            </w:r>
          </w:p>
          <w:p w:rsidR="001A61B3" w:rsidRPr="00EB5469" w:rsidRDefault="001A61B3" w:rsidP="001A61B3">
            <w:pPr>
              <w:shd w:val="clear" w:color="auto" w:fill="FFFFFF" w:themeFill="background1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High= 100, Low= 75</w:t>
            </w:r>
          </w:p>
          <w:p w:rsidR="00BB3ECB" w:rsidRDefault="00BB3ECB" w:rsidP="00D11602"/>
        </w:tc>
        <w:tc>
          <w:tcPr>
            <w:tcW w:w="2389" w:type="dxa"/>
          </w:tcPr>
          <w:p w:rsidR="00BB3ECB" w:rsidRDefault="006B1A81" w:rsidP="009004B9">
            <w:r w:rsidRPr="00EB5469">
              <w:rPr>
                <w:rFonts w:cs="Calibri"/>
                <w:color w:val="000000"/>
              </w:rPr>
              <w:t>Met</w:t>
            </w:r>
            <w:r>
              <w:rPr>
                <w:rFonts w:cs="Calibri"/>
                <w:color w:val="000000"/>
              </w:rPr>
              <w:t xml:space="preserve"> standard</w:t>
            </w:r>
          </w:p>
        </w:tc>
      </w:tr>
      <w:tr w:rsidR="00BB3ECB" w:rsidTr="00F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BB3ECB" w:rsidRPr="00691041" w:rsidRDefault="00BB3ECB" w:rsidP="0052023B">
            <w:pPr>
              <w:autoSpaceDE w:val="0"/>
              <w:autoSpaceDN w:val="0"/>
              <w:adjustRightInd w:val="0"/>
            </w:pPr>
            <w:r>
              <w:lastRenderedPageBreak/>
              <w:t xml:space="preserve">3. </w:t>
            </w:r>
            <w:r w:rsidRPr="00691041">
              <w:t xml:space="preserve">Develop and install a working VOIP </w:t>
            </w:r>
            <w:proofErr w:type="gramStart"/>
            <w:r w:rsidRPr="00691041">
              <w:t>telephony  network</w:t>
            </w:r>
            <w:proofErr w:type="gramEnd"/>
            <w:r w:rsidRPr="00691041">
              <w:t>.</w:t>
            </w:r>
          </w:p>
        </w:tc>
        <w:tc>
          <w:tcPr>
            <w:tcW w:w="2389" w:type="dxa"/>
          </w:tcPr>
          <w:p w:rsidR="00BB3ECB" w:rsidRDefault="006B1A81" w:rsidP="00814613">
            <w:r>
              <w:t>See action #1.</w:t>
            </w:r>
          </w:p>
        </w:tc>
        <w:tc>
          <w:tcPr>
            <w:tcW w:w="2391" w:type="dxa"/>
            <w:tcBorders>
              <w:right w:val="single" w:sz="18" w:space="0" w:color="4F81BD" w:themeColor="accent1"/>
            </w:tcBorders>
          </w:tcPr>
          <w:p w:rsidR="00BB3ECB" w:rsidRPr="008A433C" w:rsidRDefault="001A61B3" w:rsidP="00D11602">
            <w:r w:rsidRPr="00760D1E">
              <w:rPr>
                <w:rFonts w:asciiTheme="minorHAnsi" w:hAnsiTheme="minorHAnsi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7" w:type="dxa"/>
            <w:tcBorders>
              <w:left w:val="single" w:sz="18" w:space="0" w:color="4F81BD" w:themeColor="accent1"/>
            </w:tcBorders>
          </w:tcPr>
          <w:p w:rsidR="001A61B3" w:rsidRPr="00EB5469" w:rsidRDefault="001A61B3" w:rsidP="001A61B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EB5469">
              <w:rPr>
                <w:rFonts w:cs="Calibri"/>
                <w:color w:val="000000"/>
              </w:rPr>
              <w:t>3 - EECT 1371  not taught AY11-12</w:t>
            </w:r>
          </w:p>
          <w:p w:rsidR="00BB3ECB" w:rsidRDefault="00BB3ECB" w:rsidP="00D11602"/>
        </w:tc>
        <w:tc>
          <w:tcPr>
            <w:tcW w:w="2389" w:type="dxa"/>
          </w:tcPr>
          <w:p w:rsidR="00BB3ECB" w:rsidRDefault="006B1A81" w:rsidP="00D11602">
            <w:r>
              <w:t>N/A</w:t>
            </w:r>
          </w:p>
        </w:tc>
      </w:tr>
    </w:tbl>
    <w:p w:rsidR="008D5F98" w:rsidRDefault="008D5F98" w:rsidP="008D5F98"/>
    <w:sectPr w:rsidR="008D5F98" w:rsidSect="000B6C14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B0" w:rsidRDefault="00540CB0" w:rsidP="00CC108B">
      <w:r>
        <w:separator/>
      </w:r>
    </w:p>
  </w:endnote>
  <w:endnote w:type="continuationSeparator" w:id="0">
    <w:p w:rsidR="00540CB0" w:rsidRDefault="00540CB0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B0" w:rsidRDefault="00540CB0" w:rsidP="00CC108B">
      <w:r>
        <w:separator/>
      </w:r>
    </w:p>
  </w:footnote>
  <w:footnote w:type="continuationSeparator" w:id="0">
    <w:p w:rsidR="00540CB0" w:rsidRDefault="00540CB0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7B"/>
    <w:multiLevelType w:val="hybridMultilevel"/>
    <w:tmpl w:val="355C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485"/>
    <w:multiLevelType w:val="hybridMultilevel"/>
    <w:tmpl w:val="74B4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628"/>
    <w:multiLevelType w:val="hybridMultilevel"/>
    <w:tmpl w:val="34BA25C6"/>
    <w:lvl w:ilvl="0" w:tplc="240AF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3BB3"/>
    <w:multiLevelType w:val="hybridMultilevel"/>
    <w:tmpl w:val="F414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5467C"/>
    <w:multiLevelType w:val="hybridMultilevel"/>
    <w:tmpl w:val="7EBE9E8A"/>
    <w:lvl w:ilvl="0" w:tplc="AE404C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767B4"/>
    <w:multiLevelType w:val="hybridMultilevel"/>
    <w:tmpl w:val="7610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A7F1E"/>
    <w:multiLevelType w:val="hybridMultilevel"/>
    <w:tmpl w:val="D09A1DD2"/>
    <w:lvl w:ilvl="0" w:tplc="72C69A1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52BE2"/>
    <w:rsid w:val="000B6C14"/>
    <w:rsid w:val="000C530A"/>
    <w:rsid w:val="00100EBF"/>
    <w:rsid w:val="001A61B3"/>
    <w:rsid w:val="001D2959"/>
    <w:rsid w:val="001F6E44"/>
    <w:rsid w:val="0022084C"/>
    <w:rsid w:val="002746DE"/>
    <w:rsid w:val="00290C93"/>
    <w:rsid w:val="002E6ED4"/>
    <w:rsid w:val="00301A14"/>
    <w:rsid w:val="00307A72"/>
    <w:rsid w:val="0034576D"/>
    <w:rsid w:val="00365043"/>
    <w:rsid w:val="003C3DD5"/>
    <w:rsid w:val="00406AC7"/>
    <w:rsid w:val="00457189"/>
    <w:rsid w:val="00482295"/>
    <w:rsid w:val="00490DB7"/>
    <w:rsid w:val="004F3DFD"/>
    <w:rsid w:val="00504E0D"/>
    <w:rsid w:val="00511962"/>
    <w:rsid w:val="00522777"/>
    <w:rsid w:val="005358DC"/>
    <w:rsid w:val="00540CB0"/>
    <w:rsid w:val="00547648"/>
    <w:rsid w:val="00562C06"/>
    <w:rsid w:val="005A7F1A"/>
    <w:rsid w:val="005D2016"/>
    <w:rsid w:val="005D6562"/>
    <w:rsid w:val="00670DFD"/>
    <w:rsid w:val="00675C43"/>
    <w:rsid w:val="00695C19"/>
    <w:rsid w:val="006B011A"/>
    <w:rsid w:val="006B1A81"/>
    <w:rsid w:val="006C6753"/>
    <w:rsid w:val="006D27CC"/>
    <w:rsid w:val="006E3792"/>
    <w:rsid w:val="006F5192"/>
    <w:rsid w:val="006F6F15"/>
    <w:rsid w:val="007029BA"/>
    <w:rsid w:val="00721521"/>
    <w:rsid w:val="00721711"/>
    <w:rsid w:val="00760D1E"/>
    <w:rsid w:val="00770041"/>
    <w:rsid w:val="007F127F"/>
    <w:rsid w:val="00815FE0"/>
    <w:rsid w:val="00844F0A"/>
    <w:rsid w:val="0085689F"/>
    <w:rsid w:val="0087504B"/>
    <w:rsid w:val="008865BA"/>
    <w:rsid w:val="008A433C"/>
    <w:rsid w:val="008C7D5E"/>
    <w:rsid w:val="008D5F98"/>
    <w:rsid w:val="008F25C4"/>
    <w:rsid w:val="009004B9"/>
    <w:rsid w:val="00930A88"/>
    <w:rsid w:val="00965973"/>
    <w:rsid w:val="009A7875"/>
    <w:rsid w:val="009C42D1"/>
    <w:rsid w:val="00A05D72"/>
    <w:rsid w:val="00A86603"/>
    <w:rsid w:val="00AC33C4"/>
    <w:rsid w:val="00AE6060"/>
    <w:rsid w:val="00AF3E37"/>
    <w:rsid w:val="00B314A4"/>
    <w:rsid w:val="00B33DA7"/>
    <w:rsid w:val="00B5618F"/>
    <w:rsid w:val="00B768CB"/>
    <w:rsid w:val="00B769C3"/>
    <w:rsid w:val="00B84D6C"/>
    <w:rsid w:val="00BB3ECB"/>
    <w:rsid w:val="00BC7A38"/>
    <w:rsid w:val="00BE5391"/>
    <w:rsid w:val="00BF37DB"/>
    <w:rsid w:val="00C03325"/>
    <w:rsid w:val="00C20D1F"/>
    <w:rsid w:val="00C26989"/>
    <w:rsid w:val="00C44A8A"/>
    <w:rsid w:val="00C51557"/>
    <w:rsid w:val="00C564FC"/>
    <w:rsid w:val="00C56D65"/>
    <w:rsid w:val="00CB7905"/>
    <w:rsid w:val="00CC108B"/>
    <w:rsid w:val="00CD25DA"/>
    <w:rsid w:val="00CD43CF"/>
    <w:rsid w:val="00D11602"/>
    <w:rsid w:val="00D42041"/>
    <w:rsid w:val="00DA4D26"/>
    <w:rsid w:val="00DB2268"/>
    <w:rsid w:val="00DB6B77"/>
    <w:rsid w:val="00DF6B38"/>
    <w:rsid w:val="00E02638"/>
    <w:rsid w:val="00E0706F"/>
    <w:rsid w:val="00E10E14"/>
    <w:rsid w:val="00E23C68"/>
    <w:rsid w:val="00E33A18"/>
    <w:rsid w:val="00E803C9"/>
    <w:rsid w:val="00E825E4"/>
    <w:rsid w:val="00E90D55"/>
    <w:rsid w:val="00E9331A"/>
    <w:rsid w:val="00EA400A"/>
    <w:rsid w:val="00EC00F3"/>
    <w:rsid w:val="00F47FA6"/>
    <w:rsid w:val="00F8093A"/>
    <w:rsid w:val="00F949A8"/>
    <w:rsid w:val="00F97ECF"/>
    <w:rsid w:val="00FB611C"/>
    <w:rsid w:val="00FD615B"/>
    <w:rsid w:val="00FE3EE9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Brierley@colli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C51B-719D-4588-9692-F1EF9EC6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2</cp:revision>
  <cp:lastPrinted>2012-12-14T20:10:00Z</cp:lastPrinted>
  <dcterms:created xsi:type="dcterms:W3CDTF">2014-09-03T21:43:00Z</dcterms:created>
  <dcterms:modified xsi:type="dcterms:W3CDTF">2014-09-03T21:43:00Z</dcterms:modified>
</cp:coreProperties>
</file>