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r w:rsidRPr="008D5F98">
        <w:rPr>
          <w:b/>
        </w:rPr>
        <w:t>Date:</w:t>
      </w:r>
      <w:r>
        <w:t xml:space="preserve">   </w:t>
      </w:r>
      <w:r w:rsidR="00186A7D">
        <w:t>01/30/2015</w:t>
      </w:r>
      <w:r w:rsidR="000B6C14">
        <w:tab/>
      </w:r>
      <w:r w:rsidR="00EC00F3">
        <w:tab/>
      </w:r>
      <w:r w:rsidR="008D5F98" w:rsidRPr="008D5F98">
        <w:rPr>
          <w:b/>
        </w:rPr>
        <w:t xml:space="preserve">Name of </w:t>
      </w:r>
      <w:r w:rsidR="00BE5391">
        <w:rPr>
          <w:b/>
        </w:rPr>
        <w:t xml:space="preserve">Administrative or Educational Support </w:t>
      </w:r>
      <w:r w:rsidR="008D5F98" w:rsidRPr="008D5F98">
        <w:rPr>
          <w:b/>
        </w:rPr>
        <w:t>Unit:</w:t>
      </w:r>
      <w:r w:rsidR="000B6C14">
        <w:rPr>
          <w:b/>
        </w:rPr>
        <w:t xml:space="preserve">   </w:t>
      </w:r>
      <w:r w:rsidR="00186A7D">
        <w:rPr>
          <w:b/>
        </w:rPr>
        <w:t xml:space="preserve"> Communication Studies</w:t>
      </w:r>
      <w:r w:rsidR="008D5F98" w:rsidRPr="00482295">
        <w:tab/>
      </w:r>
    </w:p>
    <w:p w:rsidR="008D5F98" w:rsidRDefault="008D5F98" w:rsidP="001F6E44">
      <w:pPr>
        <w:tabs>
          <w:tab w:val="left" w:pos="4590"/>
          <w:tab w:val="right" w:leader="underscore" w:pos="14310"/>
        </w:tabs>
      </w:pPr>
    </w:p>
    <w:p w:rsidR="00CC108B" w:rsidRDefault="00CB7905" w:rsidP="001F6E44">
      <w:pPr>
        <w:tabs>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186A7D">
        <w:t xml:space="preserve"> </w:t>
      </w:r>
      <w:proofErr w:type="spellStart"/>
      <w:r w:rsidR="00186A7D">
        <w:t>Ceilidh</w:t>
      </w:r>
      <w:proofErr w:type="spellEnd"/>
      <w:r w:rsidR="00186A7D">
        <w:t xml:space="preserve"> </w:t>
      </w:r>
      <w:proofErr w:type="spellStart"/>
      <w:r w:rsidR="00186A7D">
        <w:t>Charleson</w:t>
      </w:r>
      <w:proofErr w:type="spellEnd"/>
      <w:r w:rsidR="00186A7D">
        <w:t>-Jennings</w:t>
      </w:r>
      <w:r w:rsidR="000B6C14">
        <w:tab/>
      </w:r>
      <w:r w:rsidR="00186A7D">
        <w:t xml:space="preserve"> </w:t>
      </w:r>
      <w:r w:rsidR="00CC108B" w:rsidRPr="008D5F98">
        <w:rPr>
          <w:b/>
        </w:rPr>
        <w:t>Contact email:</w:t>
      </w:r>
      <w:r w:rsidR="008D5F98" w:rsidRPr="008D5F98">
        <w:rPr>
          <w:b/>
        </w:rPr>
        <w:t xml:space="preserve"> </w:t>
      </w:r>
      <w:r w:rsidR="00186A7D">
        <w:rPr>
          <w:b/>
        </w:rPr>
        <w:t xml:space="preserve"> ccharleson@collin.edu</w:t>
      </w:r>
      <w:r w:rsidR="000B6C14" w:rsidRPr="00482295">
        <w:tab/>
      </w:r>
      <w:r w:rsidR="00EC00F3">
        <w:tab/>
      </w:r>
      <w:r w:rsidR="00CC108B" w:rsidRPr="008D5F98">
        <w:rPr>
          <w:b/>
        </w:rPr>
        <w:t>Contact phone:</w:t>
      </w:r>
      <w:r w:rsidR="00186A7D">
        <w:rPr>
          <w:b/>
        </w:rPr>
        <w:t xml:space="preserve"> 972.881.5182</w:t>
      </w:r>
      <w:r w:rsidR="000B6C14" w:rsidRPr="00482295">
        <w:tab/>
      </w:r>
      <w:r w:rsidR="000B6C14">
        <w:tab/>
      </w:r>
      <w:r w:rsidR="008D5F98" w:rsidRPr="008D5F98">
        <w:rPr>
          <w:b/>
        </w:rPr>
        <w:t>Office Location:</w:t>
      </w:r>
      <w:r w:rsidR="00186A7D">
        <w:t xml:space="preserve"> B233</w:t>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6F6F15" w:rsidRDefault="00186A7D" w:rsidP="00B5618F">
            <w:r>
              <w:t>The Communication Studies Department provides theoretic and skills training in the areas of general communication and mass media studies.</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0B6C14" w:rsidRDefault="00186A7D" w:rsidP="000B6C14">
            <w:r w:rsidRPr="00812D4C">
              <w:rPr>
                <w:rFonts w:ascii="Tahoma" w:hAnsi="Tahoma" w:cs="Tahoma"/>
                <w:i/>
                <w:iCs/>
              </w:rPr>
              <w:t>Evaluate</w:t>
            </w:r>
            <w:r w:rsidRPr="00812D4C">
              <w:rPr>
                <w:rFonts w:ascii="Tahoma" w:hAnsi="Tahoma" w:cs="Tahoma"/>
              </w:rPr>
              <w:t xml:space="preserve"> communication artifacts against a field-appropriate set of standards and </w:t>
            </w:r>
            <w:r w:rsidRPr="00812D4C">
              <w:rPr>
                <w:rFonts w:ascii="Tahoma" w:hAnsi="Tahoma" w:cs="Tahoma"/>
                <w:i/>
                <w:iCs/>
              </w:rPr>
              <w:t>construct</w:t>
            </w:r>
            <w:r w:rsidRPr="00812D4C">
              <w:rPr>
                <w:rFonts w:ascii="Tahoma" w:hAnsi="Tahoma" w:cs="Tahoma"/>
              </w:rPr>
              <w:t xml:space="preserve"> a competent critique.</w:t>
            </w:r>
            <w:r>
              <w:rPr>
                <w:rFonts w:ascii="Tahoma" w:hAnsi="Tahoma" w:cs="Tahoma"/>
              </w:rPr>
              <w:t xml:space="preserve"> </w:t>
            </w:r>
          </w:p>
        </w:tc>
        <w:tc>
          <w:tcPr>
            <w:tcW w:w="4800" w:type="dxa"/>
          </w:tcPr>
          <w:p w:rsidR="000B6C14" w:rsidRDefault="00186A7D" w:rsidP="00AE6060">
            <w:r>
              <w:t xml:space="preserve"> Varies from course to course. Typically measures are drawn from exams, written/oral analyses, or individual or group presentations.</w:t>
            </w:r>
          </w:p>
        </w:tc>
        <w:tc>
          <w:tcPr>
            <w:tcW w:w="4800" w:type="dxa"/>
            <w:tcBorders>
              <w:right w:val="single" w:sz="18" w:space="0" w:color="4F81BD" w:themeColor="accent1"/>
            </w:tcBorders>
          </w:tcPr>
          <w:p w:rsidR="00186A7D" w:rsidRPr="00812D4C" w:rsidRDefault="00186A7D" w:rsidP="00186A7D">
            <w:pPr>
              <w:ind w:left="360"/>
            </w:pPr>
            <w:r w:rsidRPr="00812D4C">
              <w:t>&gt;70% pass</w:t>
            </w:r>
          </w:p>
          <w:p w:rsidR="00186A7D" w:rsidRDefault="00186A7D" w:rsidP="00186A7D">
            <w:pPr>
              <w:ind w:left="360"/>
            </w:pPr>
            <w:r w:rsidRPr="00812D4C">
              <w:t>&lt;70% fail</w:t>
            </w:r>
          </w:p>
          <w:p w:rsidR="000B6C14" w:rsidRDefault="000B6C14" w:rsidP="00AE6060"/>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Default="00186A7D" w:rsidP="000B6C14">
            <w:r w:rsidRPr="00812D4C">
              <w:rPr>
                <w:rFonts w:ascii="Tahoma" w:hAnsi="Tahoma" w:cs="Tahoma"/>
                <w:i/>
                <w:iCs/>
              </w:rPr>
              <w:t xml:space="preserve">Demonstrate </w:t>
            </w:r>
            <w:r w:rsidRPr="00812D4C">
              <w:rPr>
                <w:rFonts w:ascii="Tahoma" w:hAnsi="Tahoma" w:cs="Tahoma"/>
              </w:rPr>
              <w:t>effective collaboration skills in small group interaction.</w:t>
            </w:r>
          </w:p>
        </w:tc>
        <w:tc>
          <w:tcPr>
            <w:tcW w:w="4800" w:type="dxa"/>
          </w:tcPr>
          <w:p w:rsidR="000B6C14" w:rsidRDefault="00186A7D" w:rsidP="00AE6060">
            <w:r>
              <w:t>Varies from course to course. Typically measures are drawn from exams, written/oral analyses, or individual or group presentations.</w:t>
            </w:r>
          </w:p>
        </w:tc>
        <w:tc>
          <w:tcPr>
            <w:tcW w:w="4800" w:type="dxa"/>
            <w:tcBorders>
              <w:right w:val="single" w:sz="18" w:space="0" w:color="4F81BD" w:themeColor="accent1"/>
            </w:tcBorders>
          </w:tcPr>
          <w:p w:rsidR="00186A7D" w:rsidRPr="00812D4C" w:rsidRDefault="00186A7D" w:rsidP="00186A7D">
            <w:pPr>
              <w:ind w:left="360"/>
            </w:pPr>
            <w:r w:rsidRPr="00812D4C">
              <w:t>&gt;70% pass</w:t>
            </w:r>
          </w:p>
          <w:p w:rsidR="00186A7D" w:rsidRDefault="00186A7D" w:rsidP="00186A7D">
            <w:pPr>
              <w:ind w:left="360"/>
            </w:pPr>
            <w:r w:rsidRPr="00812D4C">
              <w:t>&lt;70% fail</w:t>
            </w:r>
          </w:p>
          <w:p w:rsidR="000B6C14" w:rsidRDefault="000B6C14" w:rsidP="00D11602"/>
        </w:tc>
      </w:tr>
      <w:tr w:rsidR="000B6C14"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186A7D" w:rsidRPr="00186A7D" w:rsidRDefault="00186A7D" w:rsidP="00186A7D">
            <w:pPr>
              <w:rPr>
                <w:rFonts w:ascii="Tahoma" w:hAnsi="Tahoma" w:cs="Tahoma"/>
              </w:rPr>
            </w:pPr>
            <w:r w:rsidRPr="00186A7D">
              <w:rPr>
                <w:rFonts w:ascii="Tahoma" w:hAnsi="Tahoma" w:cs="Tahoma"/>
                <w:i/>
                <w:iCs/>
              </w:rPr>
              <w:t>Apply</w:t>
            </w:r>
            <w:r w:rsidRPr="00186A7D">
              <w:rPr>
                <w:rFonts w:ascii="Tahoma" w:hAnsi="Tahoma" w:cs="Tahoma"/>
              </w:rPr>
              <w:t xml:space="preserve"> the communication model to relevant communication situations and </w:t>
            </w:r>
            <w:r w:rsidRPr="00186A7D">
              <w:rPr>
                <w:rFonts w:ascii="Tahoma" w:hAnsi="Tahoma" w:cs="Tahoma"/>
                <w:i/>
                <w:iCs/>
              </w:rPr>
              <w:t xml:space="preserve">analyze </w:t>
            </w:r>
            <w:r w:rsidRPr="00186A7D">
              <w:rPr>
                <w:rFonts w:ascii="Tahoma" w:hAnsi="Tahoma" w:cs="Tahoma"/>
              </w:rPr>
              <w:t>vulnerabilities in those contexts.</w:t>
            </w:r>
          </w:p>
          <w:p w:rsidR="000B6C14" w:rsidRDefault="000B6C14" w:rsidP="000B6C14"/>
        </w:tc>
        <w:tc>
          <w:tcPr>
            <w:tcW w:w="4800" w:type="dxa"/>
          </w:tcPr>
          <w:p w:rsidR="000B6C14" w:rsidRDefault="00186A7D" w:rsidP="00AE6060">
            <w:r>
              <w:t>Varies from course to course. Typically measures are drawn from exams, written/oral analyses, or individual or group presentations.</w:t>
            </w:r>
          </w:p>
        </w:tc>
        <w:tc>
          <w:tcPr>
            <w:tcW w:w="4800" w:type="dxa"/>
            <w:tcBorders>
              <w:right w:val="single" w:sz="18" w:space="0" w:color="4F81BD" w:themeColor="accent1"/>
            </w:tcBorders>
          </w:tcPr>
          <w:p w:rsidR="00186A7D" w:rsidRPr="00812D4C" w:rsidRDefault="00186A7D" w:rsidP="00186A7D">
            <w:pPr>
              <w:ind w:left="360"/>
            </w:pPr>
            <w:r w:rsidRPr="00812D4C">
              <w:t>&gt;70% pass</w:t>
            </w:r>
          </w:p>
          <w:p w:rsidR="00186A7D" w:rsidRDefault="00186A7D" w:rsidP="00186A7D">
            <w:pPr>
              <w:ind w:left="360"/>
            </w:pPr>
            <w:r w:rsidRPr="00812D4C">
              <w:t>&lt;70% fail</w:t>
            </w:r>
          </w:p>
          <w:p w:rsidR="000B6C14" w:rsidRPr="00AE6060" w:rsidRDefault="000B6C14" w:rsidP="00B33DA7"/>
        </w:tc>
      </w:tr>
      <w:tr w:rsidR="000B6C14"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Default="00186A7D" w:rsidP="000B6C14">
            <w:r w:rsidRPr="00812D4C">
              <w:rPr>
                <w:rFonts w:ascii="Tahoma" w:hAnsi="Tahoma" w:cs="Tahoma"/>
                <w:i/>
                <w:iCs/>
              </w:rPr>
              <w:t>Create</w:t>
            </w:r>
            <w:r w:rsidRPr="00812D4C">
              <w:rPr>
                <w:rFonts w:ascii="Tahoma" w:hAnsi="Tahoma" w:cs="Tahoma"/>
              </w:rPr>
              <w:t xml:space="preserve"> a presentation appropriate to the communication context and </w:t>
            </w:r>
            <w:r w:rsidRPr="00812D4C">
              <w:rPr>
                <w:rFonts w:ascii="Tahoma" w:hAnsi="Tahoma" w:cs="Tahoma"/>
                <w:i/>
                <w:iCs/>
              </w:rPr>
              <w:t>deliver</w:t>
            </w:r>
            <w:r w:rsidRPr="00812D4C">
              <w:rPr>
                <w:rFonts w:ascii="Tahoma" w:hAnsi="Tahoma" w:cs="Tahoma"/>
              </w:rPr>
              <w:t xml:space="preserve"> it within field-appropriate standards.</w:t>
            </w:r>
          </w:p>
        </w:tc>
        <w:tc>
          <w:tcPr>
            <w:tcW w:w="4800" w:type="dxa"/>
          </w:tcPr>
          <w:p w:rsidR="000B6C14" w:rsidRDefault="00186A7D" w:rsidP="000B6C14">
            <w:r>
              <w:t>Varies from course to course. Typically measures are drawn from exams, written/oral analyses, or individual or group presentations.</w:t>
            </w:r>
          </w:p>
        </w:tc>
        <w:tc>
          <w:tcPr>
            <w:tcW w:w="4800" w:type="dxa"/>
            <w:tcBorders>
              <w:right w:val="single" w:sz="18" w:space="0" w:color="4F81BD" w:themeColor="accent1"/>
            </w:tcBorders>
          </w:tcPr>
          <w:p w:rsidR="00186A7D" w:rsidRPr="00812D4C" w:rsidRDefault="00186A7D" w:rsidP="00186A7D">
            <w:pPr>
              <w:ind w:left="360"/>
            </w:pPr>
            <w:r w:rsidRPr="00812D4C">
              <w:t>&gt;70% pass</w:t>
            </w:r>
          </w:p>
          <w:p w:rsidR="00186A7D" w:rsidRDefault="00186A7D" w:rsidP="00186A7D">
            <w:pPr>
              <w:ind w:left="360"/>
            </w:pPr>
            <w:r w:rsidRPr="00812D4C">
              <w:t>&lt;70% fail</w:t>
            </w:r>
          </w:p>
          <w:p w:rsidR="000B6C14" w:rsidRDefault="000B6C14" w:rsidP="000B6C14"/>
        </w:tc>
      </w:tr>
      <w:tr w:rsidR="00AE6060"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AE6060" w:rsidRDefault="00AE6060" w:rsidP="00AE6060"/>
        </w:tc>
        <w:tc>
          <w:tcPr>
            <w:tcW w:w="4800" w:type="dxa"/>
          </w:tcPr>
          <w:p w:rsidR="00AE6060" w:rsidRPr="00AE6060" w:rsidRDefault="00AE6060" w:rsidP="00AE6060"/>
        </w:tc>
        <w:tc>
          <w:tcPr>
            <w:tcW w:w="4800" w:type="dxa"/>
            <w:tcBorders>
              <w:right w:val="single" w:sz="18" w:space="0" w:color="4F81BD" w:themeColor="accent1"/>
            </w:tcBorders>
          </w:tcPr>
          <w:p w:rsidR="00AE6060" w:rsidRDefault="00AE6060" w:rsidP="00B33DA7"/>
        </w:tc>
      </w:tr>
    </w:tbl>
    <w:p w:rsidR="001F6E44" w:rsidRDefault="001F6E44" w:rsidP="00482295">
      <w:pPr>
        <w:tabs>
          <w:tab w:val="right" w:leader="underscore" w:pos="5670"/>
          <w:tab w:val="left" w:pos="5760"/>
        </w:tabs>
        <w:spacing w:before="360"/>
        <w:rPr>
          <w:b/>
          <w:sz w:val="28"/>
          <w:szCs w:val="28"/>
        </w:rPr>
      </w:pPr>
    </w:p>
    <w:p w:rsidR="001F6E44" w:rsidRDefault="001F6E44">
      <w:pPr>
        <w:rPr>
          <w:b/>
          <w:sz w:val="28"/>
          <w:szCs w:val="28"/>
        </w:rPr>
      </w:pPr>
      <w:r>
        <w:rPr>
          <w:b/>
          <w:sz w:val="28"/>
          <w:szCs w:val="28"/>
        </w:rPr>
        <w:br w:type="page"/>
      </w:r>
    </w:p>
    <w:p w:rsidR="000B6C14" w:rsidRDefault="00AE6060" w:rsidP="00482295">
      <w:pPr>
        <w:tabs>
          <w:tab w:val="right" w:leader="underscore" w:pos="5670"/>
          <w:tab w:val="left" w:pos="5760"/>
        </w:tabs>
        <w:spacing w:before="360"/>
      </w:pPr>
      <w:r w:rsidRPr="000B6C14">
        <w:rPr>
          <w:b/>
          <w:sz w:val="28"/>
          <w:szCs w:val="28"/>
        </w:rPr>
        <w:lastRenderedPageBreak/>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E825E4" w:rsidRPr="00037B52">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4856"/>
        <w:gridCol w:w="2389"/>
        <w:gridCol w:w="2389"/>
        <w:gridCol w:w="2389"/>
        <w:gridCol w:w="2389"/>
      </w:tblGrid>
      <w:tr w:rsidR="00760D1E" w:rsidRPr="00E90D55" w:rsidTr="000C530A">
        <w:trPr>
          <w:cnfStyle w:val="100000000000" w:firstRow="1" w:lastRow="0" w:firstColumn="0" w:lastColumn="0" w:oddVBand="0" w:evenVBand="0" w:oddHBand="0" w:evenHBand="0" w:firstRowFirstColumn="0" w:firstRowLastColumn="0" w:lastRowFirstColumn="0" w:lastRowLastColumn="0"/>
          <w:tblHeader/>
          <w:jc w:val="center"/>
        </w:trPr>
        <w:tc>
          <w:tcPr>
            <w:tcW w:w="4856"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389"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2389"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2389"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2389"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760D1E"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186A7D" w:rsidP="00B5618F">
            <w:r w:rsidRPr="00812D4C">
              <w:rPr>
                <w:rFonts w:ascii="Tahoma" w:hAnsi="Tahoma" w:cs="Tahoma"/>
                <w:i/>
                <w:iCs/>
              </w:rPr>
              <w:t>Evaluate</w:t>
            </w:r>
            <w:r w:rsidRPr="00812D4C">
              <w:rPr>
                <w:rFonts w:ascii="Tahoma" w:hAnsi="Tahoma" w:cs="Tahoma"/>
              </w:rPr>
              <w:t xml:space="preserve"> communication artifacts against a field-appropriate set of standards and </w:t>
            </w:r>
            <w:r w:rsidRPr="00812D4C">
              <w:rPr>
                <w:rFonts w:ascii="Tahoma" w:hAnsi="Tahoma" w:cs="Tahoma"/>
                <w:i/>
                <w:iCs/>
              </w:rPr>
              <w:t>construct</w:t>
            </w:r>
            <w:r w:rsidRPr="00812D4C">
              <w:rPr>
                <w:rFonts w:ascii="Tahoma" w:hAnsi="Tahoma" w:cs="Tahoma"/>
              </w:rPr>
              <w:t xml:space="preserve"> a competent critique.</w:t>
            </w:r>
          </w:p>
        </w:tc>
        <w:tc>
          <w:tcPr>
            <w:tcW w:w="2389" w:type="dxa"/>
          </w:tcPr>
          <w:p w:rsidR="00760D1E" w:rsidRDefault="00760D1E" w:rsidP="00814613"/>
        </w:tc>
        <w:tc>
          <w:tcPr>
            <w:tcW w:w="2389" w:type="dxa"/>
            <w:tcBorders>
              <w:right w:val="single" w:sz="18" w:space="0" w:color="4F81BD" w:themeColor="accent1"/>
            </w:tcBorders>
          </w:tcPr>
          <w:p w:rsidR="00760D1E" w:rsidRPr="00B84D6C" w:rsidRDefault="00760D1E" w:rsidP="00D11602">
            <w:pPr>
              <w:rPr>
                <w:i/>
              </w:rPr>
            </w:pPr>
          </w:p>
        </w:tc>
        <w:tc>
          <w:tcPr>
            <w:tcW w:w="2389" w:type="dxa"/>
            <w:tcBorders>
              <w:left w:val="single" w:sz="18" w:space="0" w:color="4F81BD" w:themeColor="accent1"/>
            </w:tcBorders>
          </w:tcPr>
          <w:p w:rsidR="00760D1E" w:rsidRDefault="009426E2" w:rsidP="00D11602">
            <w:r>
              <w:t>87% pass</w:t>
            </w:r>
          </w:p>
          <w:p w:rsidR="009426E2" w:rsidRDefault="009426E2" w:rsidP="00D11602">
            <w:r>
              <w:t>13% fail</w:t>
            </w:r>
          </w:p>
        </w:tc>
        <w:tc>
          <w:tcPr>
            <w:tcW w:w="2389" w:type="dxa"/>
          </w:tcPr>
          <w:p w:rsidR="00760D1E" w:rsidRDefault="00AC0898" w:rsidP="00AC0898">
            <w:r>
              <w:t xml:space="preserve">Pass rate met </w:t>
            </w:r>
          </w:p>
        </w:tc>
      </w:tr>
      <w:tr w:rsidR="00760D1E"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186A7D" w:rsidP="00B5618F">
            <w:r w:rsidRPr="00812D4C">
              <w:rPr>
                <w:rFonts w:ascii="Tahoma" w:hAnsi="Tahoma" w:cs="Tahoma"/>
                <w:i/>
                <w:iCs/>
              </w:rPr>
              <w:t xml:space="preserve">Demonstrate </w:t>
            </w:r>
            <w:r w:rsidRPr="00812D4C">
              <w:rPr>
                <w:rFonts w:ascii="Tahoma" w:hAnsi="Tahoma" w:cs="Tahoma"/>
              </w:rPr>
              <w:t>effective collaboration skills in small group interaction.</w:t>
            </w:r>
          </w:p>
        </w:tc>
        <w:tc>
          <w:tcPr>
            <w:tcW w:w="2389" w:type="dxa"/>
          </w:tcPr>
          <w:p w:rsidR="00760D1E" w:rsidRDefault="00186A7D" w:rsidP="00217EF1">
            <w:r>
              <w:t>Based on department analysis of student performance relevant to this objective, we find that while pass rates are collectively strong on this objective,</w:t>
            </w:r>
            <w:r w:rsidR="009426E2">
              <w:t xml:space="preserve"> high-point-loss</w:t>
            </w:r>
            <w:r>
              <w:t xml:space="preserve"> failures are based less on performance sta</w:t>
            </w:r>
            <w:r w:rsidR="002A34B6">
              <w:t>ndards than project abandonment</w:t>
            </w:r>
            <w:bookmarkStart w:id="0" w:name="_GoBack"/>
            <w:bookmarkEnd w:id="0"/>
            <w:r>
              <w:t>, with students often demonstrating less commitment to group co</w:t>
            </w:r>
            <w:r w:rsidR="00CE2525">
              <w:t>llaboration by high absenteeism and</w:t>
            </w:r>
            <w:r>
              <w:t xml:space="preserve"> failure to complete appropriately their portion of projects (requiring others to do it for them)</w:t>
            </w:r>
            <w:r w:rsidR="00CE2525">
              <w:t xml:space="preserve">.  Our plan is to focus for the next year on strategies to build engagement, commitment and loyalty to the group process, </w:t>
            </w:r>
            <w:r w:rsidR="00CE2525">
              <w:lastRenderedPageBreak/>
              <w:t>beginning in Spring 2015 with a focus on online courses, where group work must still be included and where abandonment can be particularly high. Online faculty will 1) identify strategies currently in use 2) create and initiate one new strategy in Spring 2015 and 3) report on the success/failure of those strategies at the end of academic year 2014-2105.</w:t>
            </w:r>
            <w:r w:rsidR="00CE2525">
              <w:br/>
              <w:t xml:space="preserve">Academic year 2015-2016 will see us revisiting those strategies tried in online courses in Spring 2015 and, department-wide, implementing the most successful ones </w:t>
            </w:r>
            <w:r w:rsidR="002A34B6">
              <w:t xml:space="preserve">in </w:t>
            </w:r>
            <w:r w:rsidR="00CE2525">
              <w:t>all our online courses for that academic year.</w:t>
            </w:r>
            <w:r w:rsidR="00CE2525">
              <w:br/>
              <w:t xml:space="preserve">We will also look at successful online strategies for group project enhancement and consider how those </w:t>
            </w:r>
            <w:r w:rsidR="00CE2525">
              <w:lastRenderedPageBreak/>
              <w:t>strategies might be transposed successfully to traditional courses.</w:t>
            </w:r>
          </w:p>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760D1E" w:rsidP="00D11602"/>
          <w:p w:rsidR="009426E2" w:rsidRDefault="009426E2" w:rsidP="00D11602">
            <w:r>
              <w:t>94% pass</w:t>
            </w:r>
          </w:p>
          <w:p w:rsidR="009426E2" w:rsidRDefault="009426E2" w:rsidP="00D11602">
            <w:r>
              <w:t>6% fail</w:t>
            </w:r>
          </w:p>
        </w:tc>
        <w:tc>
          <w:tcPr>
            <w:tcW w:w="2389" w:type="dxa"/>
          </w:tcPr>
          <w:p w:rsidR="00760D1E" w:rsidRDefault="00760D1E" w:rsidP="00D11602"/>
          <w:p w:rsidR="00AC0898" w:rsidRDefault="00AC0898" w:rsidP="00AC0898">
            <w:r>
              <w:t xml:space="preserve">Pass rate met </w:t>
            </w:r>
          </w:p>
        </w:tc>
      </w:tr>
      <w:tr w:rsidR="00760D1E"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186A7D" w:rsidRPr="00186A7D" w:rsidRDefault="00186A7D" w:rsidP="00186A7D">
            <w:pPr>
              <w:rPr>
                <w:rFonts w:ascii="Tahoma" w:hAnsi="Tahoma" w:cs="Tahoma"/>
              </w:rPr>
            </w:pPr>
            <w:r w:rsidRPr="00186A7D">
              <w:rPr>
                <w:rFonts w:ascii="Tahoma" w:hAnsi="Tahoma" w:cs="Tahoma"/>
                <w:i/>
                <w:iCs/>
              </w:rPr>
              <w:lastRenderedPageBreak/>
              <w:t>Apply</w:t>
            </w:r>
            <w:r w:rsidRPr="00186A7D">
              <w:rPr>
                <w:rFonts w:ascii="Tahoma" w:hAnsi="Tahoma" w:cs="Tahoma"/>
              </w:rPr>
              <w:t xml:space="preserve"> the communication model to relevant communication situations and </w:t>
            </w:r>
            <w:r w:rsidRPr="00186A7D">
              <w:rPr>
                <w:rFonts w:ascii="Tahoma" w:hAnsi="Tahoma" w:cs="Tahoma"/>
                <w:i/>
                <w:iCs/>
              </w:rPr>
              <w:t xml:space="preserve">analyze </w:t>
            </w:r>
            <w:r w:rsidRPr="00186A7D">
              <w:rPr>
                <w:rFonts w:ascii="Tahoma" w:hAnsi="Tahoma" w:cs="Tahoma"/>
              </w:rPr>
              <w:t>vulnerabilities in those contexts.</w:t>
            </w:r>
          </w:p>
          <w:p w:rsidR="00760D1E" w:rsidRDefault="00760D1E" w:rsidP="00B5618F"/>
        </w:tc>
        <w:tc>
          <w:tcPr>
            <w:tcW w:w="2389" w:type="dxa"/>
          </w:tcPr>
          <w:p w:rsidR="00760D1E" w:rsidRDefault="00760D1E" w:rsidP="00814613"/>
          <w:p w:rsidR="009426E2" w:rsidRDefault="009426E2" w:rsidP="00814613">
            <w:r>
              <w:t>**Note: Though this is the weakest of the outcomes in terms of performance success, we know that this outcome is most often chiefly measured by test items. We have focused on this outcome extensively across the past decade in previous assessments, seeking to enhance test performance, and though we will likely return to this objective as a point of focus in the future, for this 2</w:t>
            </w:r>
            <w:r w:rsidRPr="009426E2">
              <w:rPr>
                <w:vertAlign w:val="superscript"/>
              </w:rPr>
              <w:t>nd</w:t>
            </w:r>
            <w:r>
              <w:t xml:space="preserve"> year, </w:t>
            </w:r>
            <w:r w:rsidRPr="009426E2">
              <w:rPr>
                <w:b/>
              </w:rPr>
              <w:t>we have chosen to focus on a different objective (#2)</w:t>
            </w:r>
            <w:r>
              <w:t xml:space="preserve"> and one which, when unsuccessfully completed by a student, often has a significant effect on the final course grade and success on other objectives.</w:t>
            </w:r>
          </w:p>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9426E2" w:rsidP="00D11602">
            <w:r>
              <w:t xml:space="preserve"> 81% pass</w:t>
            </w:r>
          </w:p>
          <w:p w:rsidR="009426E2" w:rsidRDefault="009426E2" w:rsidP="00D11602">
            <w:r>
              <w:t>19% fail</w:t>
            </w:r>
          </w:p>
        </w:tc>
        <w:tc>
          <w:tcPr>
            <w:tcW w:w="2389" w:type="dxa"/>
          </w:tcPr>
          <w:p w:rsidR="00760D1E" w:rsidRDefault="00AC0898" w:rsidP="00AC0898">
            <w:r>
              <w:t xml:space="preserve"> Pass rate met </w:t>
            </w:r>
          </w:p>
        </w:tc>
      </w:tr>
      <w:tr w:rsidR="00760D1E" w:rsidTr="000C530A">
        <w:trPr>
          <w:cnfStyle w:val="000000010000" w:firstRow="0" w:lastRow="0" w:firstColumn="0" w:lastColumn="0" w:oddVBand="0" w:evenVBand="0" w:oddHBand="0" w:evenHBand="1"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186A7D" w:rsidP="00B5618F">
            <w:r w:rsidRPr="00812D4C">
              <w:rPr>
                <w:rFonts w:ascii="Tahoma" w:hAnsi="Tahoma" w:cs="Tahoma"/>
                <w:i/>
                <w:iCs/>
              </w:rPr>
              <w:lastRenderedPageBreak/>
              <w:t>Create</w:t>
            </w:r>
            <w:r w:rsidRPr="00812D4C">
              <w:rPr>
                <w:rFonts w:ascii="Tahoma" w:hAnsi="Tahoma" w:cs="Tahoma"/>
              </w:rPr>
              <w:t xml:space="preserve"> a presentation appropriate to the communication context and </w:t>
            </w:r>
            <w:r w:rsidRPr="00812D4C">
              <w:rPr>
                <w:rFonts w:ascii="Tahoma" w:hAnsi="Tahoma" w:cs="Tahoma"/>
                <w:i/>
                <w:iCs/>
              </w:rPr>
              <w:t>deliver</w:t>
            </w:r>
            <w:r w:rsidRPr="00812D4C">
              <w:rPr>
                <w:rFonts w:ascii="Tahoma" w:hAnsi="Tahoma" w:cs="Tahoma"/>
              </w:rPr>
              <w:t xml:space="preserve"> it within field-appropriate standards.</w:t>
            </w:r>
          </w:p>
        </w:tc>
        <w:tc>
          <w:tcPr>
            <w:tcW w:w="2389" w:type="dxa"/>
          </w:tcPr>
          <w:p w:rsidR="00760D1E" w:rsidRDefault="00760D1E" w:rsidP="00814613"/>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9426E2" w:rsidP="00D11602">
            <w:r>
              <w:t>94% pass</w:t>
            </w:r>
          </w:p>
          <w:p w:rsidR="009426E2" w:rsidRDefault="009426E2" w:rsidP="00D11602">
            <w:r>
              <w:t>6% fail</w:t>
            </w:r>
          </w:p>
        </w:tc>
        <w:tc>
          <w:tcPr>
            <w:tcW w:w="2389" w:type="dxa"/>
          </w:tcPr>
          <w:p w:rsidR="00760D1E" w:rsidRDefault="00AC0898" w:rsidP="00AC0898">
            <w:r>
              <w:t xml:space="preserve"> Pass rate met </w:t>
            </w:r>
          </w:p>
        </w:tc>
      </w:tr>
      <w:tr w:rsidR="00760D1E" w:rsidTr="000C530A">
        <w:trPr>
          <w:cnfStyle w:val="000000100000" w:firstRow="0" w:lastRow="0" w:firstColumn="0" w:lastColumn="0" w:oddVBand="0" w:evenVBand="0" w:oddHBand="1" w:evenHBand="0" w:firstRowFirstColumn="0" w:firstRowLastColumn="0" w:lastRowFirstColumn="0" w:lastRowLastColumn="0"/>
          <w:trHeight w:val="720"/>
          <w:jc w:val="center"/>
        </w:trPr>
        <w:tc>
          <w:tcPr>
            <w:tcW w:w="4856" w:type="dxa"/>
            <w:tcBorders>
              <w:right w:val="single" w:sz="18" w:space="0" w:color="4F81BD" w:themeColor="accent1"/>
            </w:tcBorders>
          </w:tcPr>
          <w:p w:rsidR="00760D1E" w:rsidRDefault="00760D1E" w:rsidP="00760D1E">
            <w:pPr>
              <w:jc w:val="both"/>
            </w:pPr>
          </w:p>
        </w:tc>
        <w:tc>
          <w:tcPr>
            <w:tcW w:w="2389" w:type="dxa"/>
          </w:tcPr>
          <w:p w:rsidR="00760D1E" w:rsidRDefault="00760D1E" w:rsidP="00814613"/>
        </w:tc>
        <w:tc>
          <w:tcPr>
            <w:tcW w:w="2389" w:type="dxa"/>
            <w:tcBorders>
              <w:right w:val="single" w:sz="18" w:space="0" w:color="4F81BD" w:themeColor="accent1"/>
            </w:tcBorders>
          </w:tcPr>
          <w:p w:rsidR="00760D1E" w:rsidRDefault="00760D1E" w:rsidP="00D11602"/>
        </w:tc>
        <w:tc>
          <w:tcPr>
            <w:tcW w:w="2389" w:type="dxa"/>
            <w:tcBorders>
              <w:left w:val="single" w:sz="18" w:space="0" w:color="4F81BD" w:themeColor="accent1"/>
            </w:tcBorders>
          </w:tcPr>
          <w:p w:rsidR="00760D1E" w:rsidRDefault="00760D1E" w:rsidP="00D11602"/>
        </w:tc>
        <w:tc>
          <w:tcPr>
            <w:tcW w:w="2389" w:type="dxa"/>
          </w:tcPr>
          <w:p w:rsidR="00760D1E" w:rsidRDefault="00760D1E" w:rsidP="00D11602"/>
        </w:tc>
      </w:tr>
    </w:tbl>
    <w:p w:rsidR="008D5F98" w:rsidRDefault="008D5F98" w:rsidP="008D5F98"/>
    <w:sectPr w:rsidR="008D5F98" w:rsidSect="000B6C1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A7" w:rsidRDefault="00B33DA7" w:rsidP="00CC108B">
      <w:r>
        <w:separator/>
      </w:r>
    </w:p>
  </w:endnote>
  <w:endnote w:type="continuationSeparator" w:id="0">
    <w:p w:rsidR="00B33DA7" w:rsidRDefault="00B33DA7"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A7" w:rsidRDefault="00B33DA7" w:rsidP="00CC108B">
      <w:r>
        <w:separator/>
      </w:r>
    </w:p>
  </w:footnote>
  <w:footnote w:type="continuationSeparator" w:id="0">
    <w:p w:rsidR="00B33DA7" w:rsidRDefault="00B33DA7"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814A8"/>
    <w:multiLevelType w:val="hybridMultilevel"/>
    <w:tmpl w:val="BD329DF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B6C14"/>
    <w:rsid w:val="000C530A"/>
    <w:rsid w:val="00100EBF"/>
    <w:rsid w:val="00186A7D"/>
    <w:rsid w:val="001D2959"/>
    <w:rsid w:val="001F6E44"/>
    <w:rsid w:val="00217EF1"/>
    <w:rsid w:val="0022084C"/>
    <w:rsid w:val="002746DE"/>
    <w:rsid w:val="00290C93"/>
    <w:rsid w:val="002A34B6"/>
    <w:rsid w:val="002E6ED4"/>
    <w:rsid w:val="0034576D"/>
    <w:rsid w:val="00365043"/>
    <w:rsid w:val="00482295"/>
    <w:rsid w:val="004F3DFD"/>
    <w:rsid w:val="00511962"/>
    <w:rsid w:val="00547648"/>
    <w:rsid w:val="00562C06"/>
    <w:rsid w:val="005A7F1A"/>
    <w:rsid w:val="005D2016"/>
    <w:rsid w:val="006B011A"/>
    <w:rsid w:val="006D27CC"/>
    <w:rsid w:val="006F6F15"/>
    <w:rsid w:val="00760D1E"/>
    <w:rsid w:val="0085689F"/>
    <w:rsid w:val="0087504B"/>
    <w:rsid w:val="008865BA"/>
    <w:rsid w:val="008D5F98"/>
    <w:rsid w:val="00930A88"/>
    <w:rsid w:val="009426E2"/>
    <w:rsid w:val="00965973"/>
    <w:rsid w:val="009A7875"/>
    <w:rsid w:val="009C42D1"/>
    <w:rsid w:val="00A86603"/>
    <w:rsid w:val="00AC0898"/>
    <w:rsid w:val="00AC33C4"/>
    <w:rsid w:val="00AE6060"/>
    <w:rsid w:val="00B33DA7"/>
    <w:rsid w:val="00B5618F"/>
    <w:rsid w:val="00B84D6C"/>
    <w:rsid w:val="00BE5391"/>
    <w:rsid w:val="00BF37DB"/>
    <w:rsid w:val="00C20D1F"/>
    <w:rsid w:val="00C51557"/>
    <w:rsid w:val="00C56D65"/>
    <w:rsid w:val="00CB7905"/>
    <w:rsid w:val="00CC108B"/>
    <w:rsid w:val="00CD43CF"/>
    <w:rsid w:val="00CE2525"/>
    <w:rsid w:val="00D11602"/>
    <w:rsid w:val="00DA4D26"/>
    <w:rsid w:val="00DB2268"/>
    <w:rsid w:val="00DB6B77"/>
    <w:rsid w:val="00DF6B38"/>
    <w:rsid w:val="00E02638"/>
    <w:rsid w:val="00E10E14"/>
    <w:rsid w:val="00E33A18"/>
    <w:rsid w:val="00E825E4"/>
    <w:rsid w:val="00E90D55"/>
    <w:rsid w:val="00E9331A"/>
    <w:rsid w:val="00EA400A"/>
    <w:rsid w:val="00EC00F3"/>
    <w:rsid w:val="00F8093A"/>
    <w:rsid w:val="00F949A8"/>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E1E0-3FED-40A6-8B9A-AA63B4B9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Collin College</cp:lastModifiedBy>
  <cp:revision>4</cp:revision>
  <cp:lastPrinted>2012-12-14T20:10:00Z</cp:lastPrinted>
  <dcterms:created xsi:type="dcterms:W3CDTF">2015-02-04T16:56:00Z</dcterms:created>
  <dcterms:modified xsi:type="dcterms:W3CDTF">2015-02-04T17:11:00Z</dcterms:modified>
</cp:coreProperties>
</file>