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B50B8" w14:textId="4FF83934" w:rsidR="00B06294" w:rsidRDefault="006E7D75" w:rsidP="00586E5D">
      <w:pPr>
        <w:pStyle w:val="Heading1"/>
        <w:rPr>
          <w:sz w:val="24"/>
          <w:szCs w:val="24"/>
          <w:u w:val="single"/>
        </w:rPr>
      </w:pPr>
      <w:r w:rsidRPr="0043206C">
        <w:rPr>
          <w:sz w:val="24"/>
          <w:szCs w:val="24"/>
        </w:rPr>
        <w:t xml:space="preserve">PROGRAM NAME:  </w:t>
      </w:r>
      <w:bookmarkStart w:id="0" w:name="_GoBack"/>
      <w:bookmarkEnd w:id="0"/>
      <w:r w:rsidR="00B06294">
        <w:rPr>
          <w:sz w:val="24"/>
          <w:szCs w:val="24"/>
          <w:u w:val="single"/>
        </w:rPr>
        <w:t>animation &amp; game Art</w:t>
      </w:r>
    </w:p>
    <w:p w14:paraId="43365102" w14:textId="0F0AE381" w:rsidR="006E7D75" w:rsidRPr="00625FFE" w:rsidRDefault="00625FFE" w:rsidP="00586E5D">
      <w:pPr>
        <w:pStyle w:val="Heading1"/>
        <w:rPr>
          <w:sz w:val="24"/>
          <w:szCs w:val="24"/>
          <w:u w:val="single"/>
        </w:rPr>
      </w:pPr>
      <w:r>
        <w:rPr>
          <w:sz w:val="24"/>
          <w:szCs w:val="24"/>
        </w:rPr>
        <w:t xml:space="preserve">Program review contact:  </w:t>
      </w:r>
      <w:r w:rsidR="00B06294">
        <w:rPr>
          <w:sz w:val="24"/>
          <w:szCs w:val="24"/>
          <w:u w:val="single"/>
        </w:rPr>
        <w:t>Tom Ottinger</w:t>
      </w:r>
    </w:p>
    <w:p w14:paraId="134F3CBE" w14:textId="1160FA5C" w:rsidR="00881A1F" w:rsidRPr="0043206C" w:rsidRDefault="00625FFE" w:rsidP="008A1F3C">
      <w:pPr>
        <w:pStyle w:val="Heading1"/>
        <w:rPr>
          <w:sz w:val="24"/>
          <w:szCs w:val="24"/>
        </w:rPr>
      </w:pPr>
      <w:r>
        <w:rPr>
          <w:sz w:val="24"/>
          <w:szCs w:val="24"/>
        </w:rPr>
        <w:t xml:space="preserve">Email: </w:t>
      </w:r>
      <w:r w:rsidR="00BD63E5">
        <w:rPr>
          <w:sz w:val="24"/>
          <w:szCs w:val="24"/>
        </w:rPr>
        <w:t xml:space="preserve">  </w:t>
      </w:r>
      <w:r w:rsidR="00B06294">
        <w:rPr>
          <w:sz w:val="24"/>
          <w:szCs w:val="24"/>
          <w:u w:val="single"/>
        </w:rPr>
        <w:t>tottinger@collin.edu</w:t>
      </w:r>
    </w:p>
    <w:p w14:paraId="67EF86CA" w14:textId="77777777" w:rsidR="00B06294" w:rsidRDefault="00B06294" w:rsidP="00EB1EF9">
      <w:pPr>
        <w:spacing w:after="0"/>
        <w:jc w:val="center"/>
        <w:rPr>
          <w:rStyle w:val="SubtleEmphasis"/>
          <w:i w:val="0"/>
          <w:color w:val="auto"/>
        </w:rPr>
      </w:pPr>
    </w:p>
    <w:p w14:paraId="74CEA860" w14:textId="22112B47" w:rsidR="009B1F74" w:rsidRDefault="009B1F74" w:rsidP="009B1F74">
      <w:pPr>
        <w:jc w:val="center"/>
      </w:pPr>
      <w:r>
        <w:rPr>
          <w:rStyle w:val="SubtleEmphasis"/>
          <w:color w:val="auto"/>
          <w:sz w:val="44"/>
          <w:szCs w:val="44"/>
        </w:rPr>
        <w:t>Continuous Improvement Plan (CIP)</w:t>
      </w:r>
    </w:p>
    <w:p w14:paraId="357B9134" w14:textId="77777777" w:rsidR="009B1F74" w:rsidRDefault="009B1F74" w:rsidP="009B1F74">
      <w:pPr>
        <w:pStyle w:val="BodyText"/>
        <w:spacing w:before="0" w:after="0"/>
      </w:pPr>
      <w:r w:rsidRPr="00D60181">
        <w:rPr>
          <w:b/>
        </w:rPr>
        <w:t>Complete the Contin</w:t>
      </w:r>
      <w:r>
        <w:rPr>
          <w:b/>
        </w:rPr>
        <w:t>uous Improvement Plan (CIP) tables</w:t>
      </w:r>
      <w:r w:rsidRPr="00D60181">
        <w:rPr>
          <w:b/>
        </w:rPr>
        <w:t xml:space="preserve"> that </w:t>
      </w:r>
      <w:r>
        <w:rPr>
          <w:b/>
        </w:rPr>
        <w:t>follow.</w:t>
      </w:r>
    </w:p>
    <w:p w14:paraId="607E3F85" w14:textId="77777777" w:rsidR="009B1F74" w:rsidRDefault="009B1F74" w:rsidP="009B1F74">
      <w:pPr>
        <w:pStyle w:val="BodyText"/>
        <w:spacing w:before="0" w:after="0"/>
      </w:pPr>
    </w:p>
    <w:p w14:paraId="6657C408" w14:textId="77777777" w:rsidR="009B1F74" w:rsidRDefault="009B1F74" w:rsidP="009B1F74">
      <w:pPr>
        <w:spacing w:after="240" w:line="240" w:lineRule="auto"/>
        <w:ind w:right="216"/>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CIP </w:t>
      </w:r>
      <w:r w:rsidRPr="00F1262E">
        <w:rPr>
          <w:rFonts w:asciiTheme="majorHAnsi" w:hAnsiTheme="majorHAnsi"/>
          <w:b/>
          <w:color w:val="4F81BD" w:themeColor="accent1"/>
          <w:sz w:val="24"/>
          <w:szCs w:val="24"/>
        </w:rPr>
        <w:t>Outcomes, Measures</w:t>
      </w:r>
      <w:r>
        <w:rPr>
          <w:rFonts w:asciiTheme="majorHAnsi" w:hAnsiTheme="majorHAnsi"/>
          <w:b/>
          <w:color w:val="4F81BD" w:themeColor="accent1"/>
          <w:sz w:val="24"/>
          <w:szCs w:val="24"/>
        </w:rPr>
        <w:t xml:space="preserve"> &amp; </w:t>
      </w:r>
      <w:r w:rsidRPr="00F1262E">
        <w:rPr>
          <w:rFonts w:asciiTheme="majorHAnsi" w:hAnsiTheme="majorHAnsi"/>
          <w:b/>
          <w:color w:val="4F81BD" w:themeColor="accent1"/>
          <w:sz w:val="24"/>
          <w:szCs w:val="24"/>
        </w:rPr>
        <w:t>Targets Table</w:t>
      </w:r>
    </w:p>
    <w:tbl>
      <w:tblPr>
        <w:tblStyle w:val="LightGrid-Accent1"/>
        <w:tblW w:w="13500" w:type="dxa"/>
        <w:jc w:val="center"/>
        <w:tblLook w:val="0420" w:firstRow="1" w:lastRow="0" w:firstColumn="0" w:lastColumn="0" w:noHBand="0" w:noVBand="1"/>
      </w:tblPr>
      <w:tblGrid>
        <w:gridCol w:w="4330"/>
        <w:gridCol w:w="5830"/>
        <w:gridCol w:w="3340"/>
      </w:tblGrid>
      <w:tr w:rsidR="009B1F74" w:rsidRPr="00BE5391" w14:paraId="5024726E" w14:textId="77777777" w:rsidTr="00984757">
        <w:trPr>
          <w:cnfStyle w:val="100000000000" w:firstRow="1" w:lastRow="0" w:firstColumn="0" w:lastColumn="0" w:oddVBand="0" w:evenVBand="0" w:oddHBand="0" w:evenHBand="0" w:firstRowFirstColumn="0" w:firstRowLastColumn="0" w:lastRowFirstColumn="0" w:lastRowLastColumn="0"/>
          <w:trHeight w:val="430"/>
          <w:tblHeader/>
          <w:jc w:val="center"/>
        </w:trPr>
        <w:tc>
          <w:tcPr>
            <w:tcW w:w="4330" w:type="dxa"/>
            <w:vAlign w:val="bottom"/>
          </w:tcPr>
          <w:p w14:paraId="50084444" w14:textId="77777777" w:rsidR="009B1F74" w:rsidRDefault="009B1F74" w:rsidP="009746F5">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14:paraId="682FCAFA" w14:textId="77777777" w:rsidR="009B1F74" w:rsidRPr="00BE5391" w:rsidRDefault="009B1F74" w:rsidP="009746F5">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5830" w:type="dxa"/>
            <w:vAlign w:val="bottom"/>
          </w:tcPr>
          <w:p w14:paraId="0C8AD6B4" w14:textId="77777777" w:rsidR="009B1F74" w:rsidRDefault="009B1F74" w:rsidP="009746F5">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14:paraId="455B70DC" w14:textId="77777777" w:rsidR="009B1F74" w:rsidRPr="00BE5391" w:rsidRDefault="009B1F74" w:rsidP="009746F5">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3340" w:type="dxa"/>
            <w:tcBorders>
              <w:right w:val="single" w:sz="18" w:space="0" w:color="4F81BD" w:themeColor="accent1"/>
            </w:tcBorders>
            <w:vAlign w:val="bottom"/>
          </w:tcPr>
          <w:p w14:paraId="60058DF9" w14:textId="77777777" w:rsidR="009B1F74" w:rsidRPr="00BE5391" w:rsidRDefault="009B1F74" w:rsidP="009746F5">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Pr="00482295">
              <w:rPr>
                <w:rFonts w:asciiTheme="minorHAnsi" w:hAnsiTheme="minorHAnsi" w:cstheme="minorHAnsi"/>
                <w:b w:val="0"/>
                <w:sz w:val="18"/>
                <w:szCs w:val="18"/>
              </w:rPr>
              <w:t>The level of success expected</w:t>
            </w:r>
          </w:p>
        </w:tc>
      </w:tr>
      <w:tr w:rsidR="009B1F74" w14:paraId="7B6EAA61" w14:textId="77777777" w:rsidTr="00984757">
        <w:trPr>
          <w:cnfStyle w:val="000000100000" w:firstRow="0" w:lastRow="0" w:firstColumn="0" w:lastColumn="0" w:oddVBand="0" w:evenVBand="0" w:oddHBand="1" w:evenHBand="0" w:firstRowFirstColumn="0" w:firstRowLastColumn="0" w:lastRowFirstColumn="0" w:lastRowLastColumn="0"/>
          <w:trHeight w:val="720"/>
          <w:jc w:val="center"/>
        </w:trPr>
        <w:tc>
          <w:tcPr>
            <w:tcW w:w="4330" w:type="dxa"/>
          </w:tcPr>
          <w:p w14:paraId="2146D229" w14:textId="77777777" w:rsidR="009B1F74" w:rsidRPr="00210EA4" w:rsidRDefault="009B1F74" w:rsidP="009B1F74">
            <w:pPr>
              <w:pStyle w:val="ListParagraph"/>
              <w:numPr>
                <w:ilvl w:val="0"/>
                <w:numId w:val="32"/>
              </w:numPr>
            </w:pPr>
            <w:r>
              <w:t xml:space="preserve">Demonstrate effective </w:t>
            </w:r>
            <w:r w:rsidRPr="00454A56">
              <w:rPr>
                <w:u w:val="single"/>
              </w:rPr>
              <w:t>concept development</w:t>
            </w:r>
            <w:r>
              <w:t xml:space="preserve"> for the execution of professional media</w:t>
            </w:r>
          </w:p>
          <w:p w14:paraId="34F92D76" w14:textId="77777777" w:rsidR="009B1F74" w:rsidRPr="00210EA4" w:rsidRDefault="009B1F74" w:rsidP="009746F5"/>
        </w:tc>
        <w:tc>
          <w:tcPr>
            <w:tcW w:w="5830" w:type="dxa"/>
          </w:tcPr>
          <w:p w14:paraId="5651D50B" w14:textId="77777777" w:rsidR="009B1F74" w:rsidRDefault="009B1F74" w:rsidP="009746F5">
            <w:pPr>
              <w:ind w:left="642" w:hanging="570"/>
            </w:pPr>
            <w:r>
              <w:t>33% - Effective character sheets for animation character designs.</w:t>
            </w:r>
          </w:p>
          <w:p w14:paraId="1C66E449" w14:textId="77777777" w:rsidR="009B1F74" w:rsidRDefault="009B1F74" w:rsidP="009746F5">
            <w:pPr>
              <w:ind w:left="642" w:hanging="570"/>
            </w:pPr>
            <w:r>
              <w:t>33% - Effective environmental concept art to establish the “look and feel” of a production.</w:t>
            </w:r>
          </w:p>
          <w:p w14:paraId="32507D77" w14:textId="77777777" w:rsidR="009B1F74" w:rsidRDefault="009B1F74" w:rsidP="009746F5">
            <w:pPr>
              <w:ind w:left="642" w:hanging="570"/>
            </w:pPr>
            <w:r>
              <w:t>33% - Effective storyboard development to plan a narrative storyline as executed in final media.</w:t>
            </w:r>
          </w:p>
          <w:p w14:paraId="54EA19DE" w14:textId="77777777" w:rsidR="009B1F74" w:rsidRPr="00210EA4" w:rsidRDefault="009B1F74" w:rsidP="009746F5">
            <w:pPr>
              <w:ind w:left="72"/>
            </w:pPr>
            <w:r>
              <w:t>TOTAL – 100%</w:t>
            </w:r>
          </w:p>
        </w:tc>
        <w:tc>
          <w:tcPr>
            <w:tcW w:w="3340" w:type="dxa"/>
            <w:tcBorders>
              <w:right w:val="single" w:sz="18" w:space="0" w:color="4F81BD" w:themeColor="accent1"/>
            </w:tcBorders>
          </w:tcPr>
          <w:p w14:paraId="33EF391C" w14:textId="77777777" w:rsidR="009B1F74" w:rsidRPr="00B55D54" w:rsidRDefault="009B1F74" w:rsidP="009746F5">
            <w:pPr>
              <w:ind w:left="90"/>
            </w:pPr>
            <w:r>
              <w:t xml:space="preserve">Passing </w:t>
            </w:r>
            <w:r w:rsidRPr="00454A56">
              <w:rPr>
                <w:u w:val="single"/>
              </w:rPr>
              <w:t>&gt;</w:t>
            </w:r>
            <w:r>
              <w:t xml:space="preserve"> 75% - Evaluated by the instructor based professional practices and standards</w:t>
            </w:r>
          </w:p>
        </w:tc>
      </w:tr>
      <w:tr w:rsidR="009B1F74" w14:paraId="48425E19" w14:textId="77777777" w:rsidTr="00984757">
        <w:trPr>
          <w:cnfStyle w:val="000000010000" w:firstRow="0" w:lastRow="0" w:firstColumn="0" w:lastColumn="0" w:oddVBand="0" w:evenVBand="0" w:oddHBand="0" w:evenHBand="1" w:firstRowFirstColumn="0" w:firstRowLastColumn="0" w:lastRowFirstColumn="0" w:lastRowLastColumn="0"/>
          <w:trHeight w:val="720"/>
          <w:jc w:val="center"/>
        </w:trPr>
        <w:tc>
          <w:tcPr>
            <w:tcW w:w="4330" w:type="dxa"/>
          </w:tcPr>
          <w:p w14:paraId="5F8B48D1" w14:textId="77777777" w:rsidR="009B1F74" w:rsidRPr="00210EA4" w:rsidRDefault="009B1F74" w:rsidP="009B1F74">
            <w:pPr>
              <w:pStyle w:val="ListParagraph"/>
              <w:numPr>
                <w:ilvl w:val="0"/>
                <w:numId w:val="32"/>
              </w:numPr>
            </w:pPr>
            <w:r>
              <w:t xml:space="preserve">Demonstrate effective </w:t>
            </w:r>
            <w:r w:rsidRPr="00454A56">
              <w:rPr>
                <w:u w:val="single"/>
              </w:rPr>
              <w:t>communication skills</w:t>
            </w:r>
            <w:r>
              <w:t xml:space="preserve"> in the execution of professional media.</w:t>
            </w:r>
          </w:p>
          <w:p w14:paraId="7D75643F" w14:textId="77777777" w:rsidR="009B1F74" w:rsidRPr="00B55D54" w:rsidRDefault="009B1F74" w:rsidP="009746F5">
            <w:pPr>
              <w:pStyle w:val="ListParagraph"/>
              <w:ind w:left="90"/>
            </w:pPr>
          </w:p>
        </w:tc>
        <w:tc>
          <w:tcPr>
            <w:tcW w:w="5830" w:type="dxa"/>
          </w:tcPr>
          <w:p w14:paraId="1B93BB6D" w14:textId="77777777" w:rsidR="009B1F74" w:rsidRDefault="009B1F74" w:rsidP="009746F5">
            <w:pPr>
              <w:ind w:left="642" w:hanging="540"/>
            </w:pPr>
            <w:r>
              <w:t>33% - Effective communication with clients, co-workers and supervisors.</w:t>
            </w:r>
          </w:p>
          <w:p w14:paraId="0D8A05DD" w14:textId="77777777" w:rsidR="009B1F74" w:rsidRDefault="009B1F74" w:rsidP="009746F5">
            <w:pPr>
              <w:ind w:left="642" w:hanging="540"/>
            </w:pPr>
            <w:r>
              <w:t>33% - Does the finished work communicate effectively with the target audience? (i.e. client intent, target and audience needs).</w:t>
            </w:r>
          </w:p>
          <w:p w14:paraId="030FAAC8" w14:textId="77777777" w:rsidR="009B1F74" w:rsidRDefault="009B1F74" w:rsidP="009746F5">
            <w:pPr>
              <w:ind w:left="642" w:hanging="540"/>
            </w:pPr>
            <w:r>
              <w:t>33% - Presents portfolio work effectively.</w:t>
            </w:r>
          </w:p>
          <w:p w14:paraId="0B1776AD" w14:textId="77777777" w:rsidR="009B1F74" w:rsidRPr="00210EA4" w:rsidRDefault="009B1F74" w:rsidP="009746F5">
            <w:pPr>
              <w:ind w:left="72"/>
            </w:pPr>
            <w:r>
              <w:t>TOTAL – 100%</w:t>
            </w:r>
          </w:p>
        </w:tc>
        <w:tc>
          <w:tcPr>
            <w:tcW w:w="3340" w:type="dxa"/>
            <w:tcBorders>
              <w:right w:val="single" w:sz="18" w:space="0" w:color="4F81BD" w:themeColor="accent1"/>
            </w:tcBorders>
          </w:tcPr>
          <w:p w14:paraId="1E309149" w14:textId="77777777" w:rsidR="009B1F74" w:rsidRPr="00210EA4" w:rsidRDefault="009B1F74" w:rsidP="009746F5">
            <w:pPr>
              <w:ind w:left="90"/>
            </w:pPr>
            <w:r>
              <w:t xml:space="preserve">Passing </w:t>
            </w:r>
            <w:r w:rsidRPr="00454A56">
              <w:rPr>
                <w:u w:val="single"/>
              </w:rPr>
              <w:t>&gt;</w:t>
            </w:r>
            <w:r>
              <w:t xml:space="preserve"> 75% - Evaluated by the instructor based professional practices and standards</w:t>
            </w:r>
          </w:p>
        </w:tc>
      </w:tr>
      <w:tr w:rsidR="009B1F74" w14:paraId="62A10409" w14:textId="77777777" w:rsidTr="00984757">
        <w:trPr>
          <w:cnfStyle w:val="000000100000" w:firstRow="0" w:lastRow="0" w:firstColumn="0" w:lastColumn="0" w:oddVBand="0" w:evenVBand="0" w:oddHBand="1" w:evenHBand="0" w:firstRowFirstColumn="0" w:firstRowLastColumn="0" w:lastRowFirstColumn="0" w:lastRowLastColumn="0"/>
          <w:trHeight w:val="720"/>
          <w:jc w:val="center"/>
        </w:trPr>
        <w:tc>
          <w:tcPr>
            <w:tcW w:w="4330" w:type="dxa"/>
          </w:tcPr>
          <w:p w14:paraId="3520C5B4" w14:textId="77777777" w:rsidR="009B1F74" w:rsidRDefault="009B1F74" w:rsidP="009B1F74">
            <w:pPr>
              <w:pStyle w:val="ListParagraph"/>
              <w:numPr>
                <w:ilvl w:val="0"/>
                <w:numId w:val="32"/>
              </w:numPr>
            </w:pPr>
            <w:r>
              <w:t xml:space="preserve">Demonstrate </w:t>
            </w:r>
            <w:r w:rsidRPr="00681433">
              <w:rPr>
                <w:u w:val="single"/>
              </w:rPr>
              <w:t>proficiency in design principles</w:t>
            </w:r>
            <w:r>
              <w:t xml:space="preserve"> in the execution of professional media.</w:t>
            </w:r>
          </w:p>
          <w:p w14:paraId="454D59AA" w14:textId="77777777" w:rsidR="009B1F74" w:rsidRPr="00210EA4" w:rsidRDefault="009B1F74" w:rsidP="009746F5"/>
        </w:tc>
        <w:tc>
          <w:tcPr>
            <w:tcW w:w="5830" w:type="dxa"/>
          </w:tcPr>
          <w:p w14:paraId="4375AF57" w14:textId="77777777" w:rsidR="009B1F74" w:rsidRDefault="009B1F74" w:rsidP="009746F5">
            <w:pPr>
              <w:ind w:left="72"/>
            </w:pPr>
            <w:r>
              <w:t>20% - Form</w:t>
            </w:r>
          </w:p>
          <w:p w14:paraId="14D47B9E" w14:textId="77777777" w:rsidR="009B1F74" w:rsidRDefault="009B1F74" w:rsidP="009746F5">
            <w:pPr>
              <w:ind w:left="72"/>
            </w:pPr>
            <w:r>
              <w:t>20% - Color</w:t>
            </w:r>
          </w:p>
          <w:p w14:paraId="36971C2A" w14:textId="77777777" w:rsidR="009B1F74" w:rsidRDefault="009B1F74" w:rsidP="009746F5">
            <w:pPr>
              <w:ind w:left="72"/>
            </w:pPr>
            <w:r>
              <w:t>20% - Lighting</w:t>
            </w:r>
          </w:p>
          <w:p w14:paraId="5E2040D6" w14:textId="77777777" w:rsidR="009B1F74" w:rsidRDefault="009B1F74" w:rsidP="009746F5">
            <w:pPr>
              <w:ind w:left="72"/>
            </w:pPr>
            <w:r>
              <w:t>20% - Movement</w:t>
            </w:r>
          </w:p>
          <w:p w14:paraId="166439D2" w14:textId="77777777" w:rsidR="009B1F74" w:rsidRDefault="009B1F74" w:rsidP="009746F5">
            <w:pPr>
              <w:ind w:left="72"/>
            </w:pPr>
            <w:r>
              <w:t>20% - Composition</w:t>
            </w:r>
          </w:p>
          <w:p w14:paraId="1E0AEC3B" w14:textId="77777777" w:rsidR="009B1F74" w:rsidRPr="00210EA4" w:rsidRDefault="009B1F74" w:rsidP="009746F5">
            <w:pPr>
              <w:ind w:left="72"/>
            </w:pPr>
            <w:r>
              <w:t>TOTAL – 100%</w:t>
            </w:r>
          </w:p>
        </w:tc>
        <w:tc>
          <w:tcPr>
            <w:tcW w:w="3340" w:type="dxa"/>
            <w:tcBorders>
              <w:right w:val="single" w:sz="18" w:space="0" w:color="4F81BD" w:themeColor="accent1"/>
            </w:tcBorders>
          </w:tcPr>
          <w:p w14:paraId="24155D17" w14:textId="77777777" w:rsidR="009B1F74" w:rsidRPr="00BC2713" w:rsidRDefault="009B1F74" w:rsidP="009746F5">
            <w:pPr>
              <w:ind w:left="90"/>
            </w:pPr>
            <w:r>
              <w:t xml:space="preserve">Passing </w:t>
            </w:r>
            <w:r w:rsidRPr="00454A56">
              <w:rPr>
                <w:u w:val="single"/>
              </w:rPr>
              <w:t>&gt;</w:t>
            </w:r>
            <w:r>
              <w:t xml:space="preserve"> 75% - Evaluated by the instructor based professional practices and standards</w:t>
            </w:r>
          </w:p>
        </w:tc>
      </w:tr>
      <w:tr w:rsidR="009B1F74" w14:paraId="793B5CC4" w14:textId="77777777" w:rsidTr="00984757">
        <w:trPr>
          <w:cnfStyle w:val="000000010000" w:firstRow="0" w:lastRow="0" w:firstColumn="0" w:lastColumn="0" w:oddVBand="0" w:evenVBand="0" w:oddHBand="0" w:evenHBand="1" w:firstRowFirstColumn="0" w:firstRowLastColumn="0" w:lastRowFirstColumn="0" w:lastRowLastColumn="0"/>
          <w:trHeight w:val="720"/>
          <w:jc w:val="center"/>
        </w:trPr>
        <w:tc>
          <w:tcPr>
            <w:tcW w:w="4330" w:type="dxa"/>
          </w:tcPr>
          <w:p w14:paraId="5624AE73" w14:textId="77777777" w:rsidR="009B1F74" w:rsidRDefault="009B1F74" w:rsidP="009B1F74">
            <w:pPr>
              <w:pStyle w:val="ListParagraph"/>
              <w:numPr>
                <w:ilvl w:val="0"/>
                <w:numId w:val="32"/>
              </w:numPr>
            </w:pPr>
            <w:r>
              <w:t xml:space="preserve">Demonstrate effective </w:t>
            </w:r>
            <w:r w:rsidRPr="00681433">
              <w:rPr>
                <w:u w:val="single"/>
              </w:rPr>
              <w:t>project management</w:t>
            </w:r>
            <w:r>
              <w:t xml:space="preserve"> in the execution of professional media.</w:t>
            </w:r>
          </w:p>
        </w:tc>
        <w:tc>
          <w:tcPr>
            <w:tcW w:w="5830" w:type="dxa"/>
          </w:tcPr>
          <w:p w14:paraId="5845622B" w14:textId="77777777" w:rsidR="009B1F74" w:rsidRDefault="009B1F74" w:rsidP="009746F5">
            <w:pPr>
              <w:ind w:left="642" w:hanging="570"/>
            </w:pPr>
            <w:r>
              <w:t>33% - Effective time management, overall.</w:t>
            </w:r>
          </w:p>
          <w:p w14:paraId="78D3F724" w14:textId="77777777" w:rsidR="009B1F74" w:rsidRDefault="009B1F74" w:rsidP="009746F5">
            <w:pPr>
              <w:ind w:left="642" w:hanging="570"/>
            </w:pPr>
            <w:r>
              <w:t>33% - Client proofing cycles delivered in a timely manner.</w:t>
            </w:r>
          </w:p>
          <w:p w14:paraId="76BD1304" w14:textId="77777777" w:rsidR="009B1F74" w:rsidRDefault="009B1F74" w:rsidP="009746F5">
            <w:pPr>
              <w:ind w:left="642" w:hanging="570"/>
            </w:pPr>
            <w:r>
              <w:t>33% - All stages of production coordinated to avoid bottlenecks.</w:t>
            </w:r>
          </w:p>
          <w:p w14:paraId="4E8F72DE" w14:textId="77777777" w:rsidR="009B1F74" w:rsidRDefault="009B1F74" w:rsidP="009746F5">
            <w:pPr>
              <w:ind w:left="72"/>
            </w:pPr>
            <w:r>
              <w:t>TOTAL – 100%</w:t>
            </w:r>
          </w:p>
        </w:tc>
        <w:tc>
          <w:tcPr>
            <w:tcW w:w="3340" w:type="dxa"/>
            <w:tcBorders>
              <w:right w:val="single" w:sz="18" w:space="0" w:color="4F81BD" w:themeColor="accent1"/>
            </w:tcBorders>
          </w:tcPr>
          <w:p w14:paraId="70369692" w14:textId="77777777" w:rsidR="009B1F74" w:rsidRDefault="009B1F74" w:rsidP="009746F5">
            <w:pPr>
              <w:ind w:left="90"/>
            </w:pPr>
            <w:r>
              <w:t xml:space="preserve">Passing </w:t>
            </w:r>
            <w:r w:rsidRPr="00454A56">
              <w:rPr>
                <w:u w:val="single"/>
              </w:rPr>
              <w:t>&gt;</w:t>
            </w:r>
            <w:r>
              <w:t xml:space="preserve"> 75% - Evaluated by the instructor based professional practices and standards</w:t>
            </w:r>
          </w:p>
        </w:tc>
      </w:tr>
    </w:tbl>
    <w:p w14:paraId="7562C39C" w14:textId="77777777" w:rsidR="009B1F74" w:rsidRDefault="009B1F74" w:rsidP="009B1F74">
      <w:pPr>
        <w:spacing w:after="240" w:line="240" w:lineRule="auto"/>
        <w:ind w:right="216"/>
        <w:rPr>
          <w:rFonts w:asciiTheme="majorHAnsi" w:hAnsiTheme="majorHAnsi"/>
          <w:b/>
          <w:color w:val="4F81BD" w:themeColor="accent1"/>
          <w:sz w:val="24"/>
          <w:szCs w:val="24"/>
        </w:rPr>
      </w:pPr>
    </w:p>
    <w:p w14:paraId="6E91E4D8" w14:textId="77777777" w:rsidR="009B1F74" w:rsidRDefault="009B1F74" w:rsidP="009B1F74">
      <w:pPr>
        <w:spacing w:before="8" w:after="0" w:line="241" w:lineRule="auto"/>
        <w:ind w:left="248" w:right="210"/>
        <w:rPr>
          <w:rFonts w:ascii="Franklin Gothic Book" w:eastAsia="Franklin Gothic Book" w:hAnsi="Franklin Gothic Book" w:cs="Franklin Gothic Book"/>
          <w:spacing w:val="-1"/>
          <w:sz w:val="20"/>
          <w:szCs w:val="20"/>
        </w:rPr>
      </w:pPr>
    </w:p>
    <w:p w14:paraId="6E05294D" w14:textId="77777777" w:rsidR="009B1F74" w:rsidRDefault="009B1F74" w:rsidP="009B1F74">
      <w:r>
        <w:t>Implementation of the action plan laid out in the CIP Cycle 1 Table will begin during the next academic year.</w:t>
      </w:r>
    </w:p>
    <w:p w14:paraId="570E7279" w14:textId="77777777" w:rsidR="009B1F74" w:rsidRPr="00F1262E" w:rsidRDefault="009B1F74" w:rsidP="009B1F74">
      <w:pPr>
        <w:spacing w:after="240" w:line="240" w:lineRule="auto"/>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CIP </w:t>
      </w:r>
      <w:r w:rsidRPr="00F1262E">
        <w:rPr>
          <w:rFonts w:asciiTheme="majorHAnsi" w:hAnsiTheme="majorHAnsi"/>
          <w:b/>
          <w:color w:val="4F81BD" w:themeColor="accent1"/>
          <w:sz w:val="24"/>
          <w:szCs w:val="24"/>
        </w:rPr>
        <w:t>Cycle 1 Table</w:t>
      </w:r>
    </w:p>
    <w:tbl>
      <w:tblPr>
        <w:tblStyle w:val="LightGrid-Accent1"/>
        <w:tblW w:w="14570" w:type="dxa"/>
        <w:jc w:val="center"/>
        <w:tblLook w:val="0420" w:firstRow="1" w:lastRow="0" w:firstColumn="0" w:lastColumn="0" w:noHBand="0" w:noVBand="1"/>
      </w:tblPr>
      <w:tblGrid>
        <w:gridCol w:w="3680"/>
        <w:gridCol w:w="3565"/>
        <w:gridCol w:w="1835"/>
        <w:gridCol w:w="3060"/>
        <w:gridCol w:w="2430"/>
      </w:tblGrid>
      <w:tr w:rsidR="009B1F74" w:rsidRPr="00E90D55" w14:paraId="41DC8305" w14:textId="77777777" w:rsidTr="00984757">
        <w:trPr>
          <w:cnfStyle w:val="100000000000" w:firstRow="1" w:lastRow="0" w:firstColumn="0" w:lastColumn="0" w:oddVBand="0" w:evenVBand="0" w:oddHBand="0" w:evenHBand="0" w:firstRowFirstColumn="0" w:firstRowLastColumn="0" w:lastRowFirstColumn="0" w:lastRowLastColumn="0"/>
          <w:tblHeader/>
          <w:jc w:val="center"/>
        </w:trPr>
        <w:tc>
          <w:tcPr>
            <w:tcW w:w="3680" w:type="dxa"/>
            <w:tcBorders>
              <w:right w:val="single" w:sz="18" w:space="0" w:color="4F81BD" w:themeColor="accent1"/>
            </w:tcBorders>
          </w:tcPr>
          <w:p w14:paraId="604A5D67" w14:textId="77777777" w:rsidR="009B1F74" w:rsidRDefault="009B1F74" w:rsidP="009746F5">
            <w:pPr>
              <w:jc w:val="center"/>
              <w:rPr>
                <w:rFonts w:asciiTheme="minorHAnsi" w:hAnsiTheme="minorHAnsi" w:cstheme="minorHAnsi"/>
              </w:rPr>
            </w:pPr>
            <w:r>
              <w:rPr>
                <w:rFonts w:asciiTheme="minorHAnsi" w:hAnsiTheme="minorHAnsi" w:cstheme="minorHAnsi"/>
              </w:rPr>
              <w:t xml:space="preserve"> </w:t>
            </w:r>
            <w:r w:rsidRPr="00231F4D">
              <w:rPr>
                <w:rFonts w:asciiTheme="minorHAnsi" w:hAnsiTheme="minorHAnsi" w:cstheme="minorHAnsi"/>
              </w:rPr>
              <w:t>Outcomes</w:t>
            </w:r>
          </w:p>
          <w:p w14:paraId="1FEE2345"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(F</w:t>
            </w:r>
            <w:r w:rsidRPr="00231F4D">
              <w:rPr>
                <w:rFonts w:asciiTheme="minorHAnsi" w:hAnsiTheme="minorHAnsi" w:cstheme="minorHAnsi"/>
              </w:rPr>
              <w:t xml:space="preserve">rom </w:t>
            </w:r>
            <w:r>
              <w:rPr>
                <w:rFonts w:asciiTheme="minorHAnsi" w:hAnsiTheme="minorHAnsi" w:cstheme="minorHAnsi"/>
              </w:rPr>
              <w:t>Outcomes, Measures &amp; Targets Table)</w:t>
            </w:r>
          </w:p>
          <w:p w14:paraId="0DCBC24B" w14:textId="77777777" w:rsidR="009B1F74" w:rsidRDefault="009B1F74" w:rsidP="009746F5">
            <w:pPr>
              <w:jc w:val="center"/>
              <w:rPr>
                <w:rFonts w:asciiTheme="minorHAnsi" w:hAnsiTheme="minorHAnsi" w:cstheme="minorHAnsi"/>
              </w:rPr>
            </w:pPr>
          </w:p>
          <w:p w14:paraId="5CE981E0" w14:textId="77777777" w:rsidR="009B1F74" w:rsidRPr="00E90D55" w:rsidRDefault="009B1F74" w:rsidP="009746F5">
            <w:pPr>
              <w:jc w:val="center"/>
              <w:rPr>
                <w:rFonts w:asciiTheme="minorHAnsi" w:hAnsiTheme="minorHAnsi" w:cstheme="minorHAnsi"/>
              </w:rPr>
            </w:pPr>
          </w:p>
          <w:p w14:paraId="052844EC" w14:textId="77777777" w:rsidR="009B1F74" w:rsidRPr="00B84D6C" w:rsidRDefault="009B1F74" w:rsidP="009746F5">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program</w:t>
            </w:r>
            <w:r>
              <w:rPr>
                <w:rFonts w:asciiTheme="minorHAnsi" w:hAnsiTheme="minorHAnsi" w:cstheme="minorHAnsi"/>
                <w:b w:val="0"/>
                <w:sz w:val="18"/>
                <w:szCs w:val="18"/>
              </w:rPr>
              <w:t>/department</w:t>
            </w:r>
          </w:p>
        </w:tc>
        <w:tc>
          <w:tcPr>
            <w:tcW w:w="3565" w:type="dxa"/>
          </w:tcPr>
          <w:p w14:paraId="74E8BD57" w14:textId="77777777" w:rsidR="009B1F74" w:rsidRDefault="009B1F74" w:rsidP="009746F5">
            <w:pPr>
              <w:jc w:val="center"/>
              <w:rPr>
                <w:rFonts w:asciiTheme="minorHAnsi" w:hAnsiTheme="minorHAnsi" w:cstheme="minorHAnsi"/>
              </w:rPr>
            </w:pPr>
            <w:r w:rsidRPr="00231F4D">
              <w:rPr>
                <w:rFonts w:asciiTheme="minorHAnsi" w:hAnsiTheme="minorHAnsi" w:cstheme="minorHAnsi"/>
              </w:rPr>
              <w:t xml:space="preserve"> Action </w:t>
            </w:r>
            <w:r w:rsidRPr="00E90D55">
              <w:rPr>
                <w:rFonts w:asciiTheme="minorHAnsi" w:hAnsiTheme="minorHAnsi" w:cstheme="minorHAnsi"/>
              </w:rPr>
              <w:t>Plan</w:t>
            </w:r>
            <w:r>
              <w:rPr>
                <w:rFonts w:asciiTheme="minorHAnsi" w:hAnsiTheme="minorHAnsi" w:cstheme="minorHAnsi"/>
              </w:rPr>
              <w:br/>
              <w:t>(Review Cycle Year 5)</w:t>
            </w:r>
          </w:p>
          <w:p w14:paraId="1FB4A7DF" w14:textId="77777777" w:rsidR="009B1F74" w:rsidRPr="00760D1E" w:rsidRDefault="009B1F74" w:rsidP="009746F5">
            <w:pPr>
              <w:jc w:val="center"/>
              <w:rPr>
                <w:rFonts w:asciiTheme="minorHAnsi" w:hAnsiTheme="minorHAnsi"/>
                <w:b w:val="0"/>
                <w:noProof/>
                <w:sz w:val="18"/>
                <w:szCs w:val="18"/>
              </w:rPr>
            </w:pPr>
            <w:r>
              <w:rPr>
                <w:rFonts w:asciiTheme="minorHAnsi" w:hAnsiTheme="minorHAnsi" w:cstheme="minorHAnsi"/>
                <w:b w:val="0"/>
                <w:sz w:val="18"/>
                <w:szCs w:val="18"/>
              </w:rPr>
              <w:t>Based on analysis, identify action(s) to be taken to accomplish outcome.</w:t>
            </w:r>
          </w:p>
        </w:tc>
        <w:tc>
          <w:tcPr>
            <w:tcW w:w="1835" w:type="dxa"/>
            <w:tcBorders>
              <w:right w:val="single" w:sz="18" w:space="0" w:color="4F81BD" w:themeColor="accent1"/>
            </w:tcBorders>
          </w:tcPr>
          <w:p w14:paraId="7098D3D3"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 xml:space="preserve"> Implement Action Plan</w:t>
            </w:r>
          </w:p>
          <w:p w14:paraId="3203403C"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(Review Cycle Year 1)</w:t>
            </w:r>
          </w:p>
          <w:p w14:paraId="41C41DEE" w14:textId="77777777" w:rsidR="009B1F74" w:rsidRDefault="009B1F74" w:rsidP="009746F5">
            <w:pPr>
              <w:jc w:val="center"/>
              <w:rPr>
                <w:rFonts w:asciiTheme="minorHAnsi" w:hAnsiTheme="minorHAnsi"/>
                <w:b w:val="0"/>
                <w:noProof/>
                <w:sz w:val="18"/>
                <w:szCs w:val="18"/>
              </w:rPr>
            </w:pPr>
          </w:p>
          <w:p w14:paraId="1BBD0F07" w14:textId="77777777" w:rsidR="009B1F74" w:rsidRPr="00231F4D" w:rsidRDefault="009B1F74" w:rsidP="009746F5">
            <w:pPr>
              <w:jc w:val="center"/>
              <w:rPr>
                <w:rFonts w:asciiTheme="minorHAnsi" w:hAnsiTheme="minorHAnsi" w:cstheme="minorHAnsi"/>
              </w:rPr>
            </w:pPr>
            <w:r w:rsidRPr="00231F4D">
              <w:rPr>
                <w:rFonts w:asciiTheme="minorHAnsi" w:hAnsiTheme="minorHAnsi"/>
                <w:b w:val="0"/>
                <w:noProof/>
                <w:sz w:val="18"/>
                <w:szCs w:val="18"/>
              </w:rPr>
              <w:t>Implement action plan and collect data</w:t>
            </w:r>
            <w:r>
              <w:rPr>
                <w:rFonts w:asciiTheme="minorHAnsi" w:hAnsiTheme="minorHAnsi"/>
                <w:b w:val="0"/>
                <w:noProof/>
                <w:sz w:val="18"/>
                <w:szCs w:val="18"/>
              </w:rPr>
              <w:t>.</w:t>
            </w:r>
          </w:p>
        </w:tc>
        <w:tc>
          <w:tcPr>
            <w:tcW w:w="3060" w:type="dxa"/>
            <w:tcBorders>
              <w:left w:val="single" w:sz="18" w:space="0" w:color="4F81BD" w:themeColor="accent1"/>
            </w:tcBorders>
          </w:tcPr>
          <w:p w14:paraId="3EF631AC"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Results Summary</w:t>
            </w:r>
          </w:p>
          <w:p w14:paraId="05DC5AD2"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(Review Cycle Year 2)</w:t>
            </w:r>
          </w:p>
          <w:p w14:paraId="7194DAC4" w14:textId="77777777" w:rsidR="009B1F74" w:rsidRDefault="009B1F74" w:rsidP="009746F5">
            <w:pPr>
              <w:jc w:val="center"/>
              <w:rPr>
                <w:rFonts w:asciiTheme="minorHAnsi" w:hAnsiTheme="minorHAnsi" w:cstheme="minorHAnsi"/>
                <w:b w:val="0"/>
                <w:sz w:val="18"/>
                <w:szCs w:val="18"/>
              </w:rPr>
            </w:pPr>
          </w:p>
          <w:p w14:paraId="76997F0C" w14:textId="77777777" w:rsidR="009B1F74" w:rsidRPr="00231F4D" w:rsidRDefault="009B1F74" w:rsidP="009746F5">
            <w:pPr>
              <w:jc w:val="center"/>
              <w:rPr>
                <w:rFonts w:asciiTheme="minorHAnsi" w:hAnsiTheme="minorHAnsi" w:cstheme="minorHAnsi"/>
                <w:b w:val="0"/>
                <w:sz w:val="18"/>
                <w:szCs w:val="18"/>
              </w:rPr>
            </w:pPr>
          </w:p>
          <w:p w14:paraId="79ABD449" w14:textId="77777777" w:rsidR="009B1F74" w:rsidRPr="00231F4D" w:rsidRDefault="009B1F74" w:rsidP="009746F5">
            <w:pPr>
              <w:jc w:val="center"/>
              <w:rPr>
                <w:rFonts w:asciiTheme="minorHAnsi" w:hAnsiTheme="minorHAnsi"/>
                <w:b w:val="0"/>
                <w:sz w:val="18"/>
                <w:szCs w:val="18"/>
              </w:rPr>
            </w:pPr>
            <w:r w:rsidRPr="00231F4D">
              <w:rPr>
                <w:rFonts w:asciiTheme="minorHAnsi" w:hAnsiTheme="minorHAnsi" w:cstheme="minorHAnsi"/>
                <w:b w:val="0"/>
                <w:sz w:val="18"/>
                <w:szCs w:val="18"/>
              </w:rPr>
              <w:t>Summarize collected</w:t>
            </w:r>
            <w:r>
              <w:rPr>
                <w:rFonts w:asciiTheme="minorHAnsi" w:hAnsiTheme="minorHAnsi" w:cstheme="minorHAnsi"/>
                <w:b w:val="0"/>
                <w:sz w:val="18"/>
                <w:szCs w:val="18"/>
              </w:rPr>
              <w:t xml:space="preserve"> data.</w:t>
            </w:r>
          </w:p>
        </w:tc>
        <w:tc>
          <w:tcPr>
            <w:tcW w:w="2430" w:type="dxa"/>
          </w:tcPr>
          <w:p w14:paraId="4FFBE822"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Findings</w:t>
            </w:r>
          </w:p>
          <w:p w14:paraId="0E0544AF"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(Review Cycle Year 2)</w:t>
            </w:r>
          </w:p>
          <w:p w14:paraId="7B28A95D" w14:textId="77777777" w:rsidR="009B1F74" w:rsidRPr="00231F4D" w:rsidRDefault="009B1F74" w:rsidP="009746F5">
            <w:pPr>
              <w:jc w:val="center"/>
              <w:rPr>
                <w:rFonts w:asciiTheme="minorHAnsi" w:hAnsiTheme="minorHAnsi" w:cstheme="minorHAnsi"/>
                <w:b w:val="0"/>
                <w:sz w:val="18"/>
                <w:szCs w:val="18"/>
              </w:rPr>
            </w:pPr>
          </w:p>
          <w:p w14:paraId="61F6530A" w14:textId="77777777" w:rsidR="009B1F74" w:rsidRPr="00231F4D" w:rsidRDefault="009B1F74" w:rsidP="009746F5">
            <w:pPr>
              <w:jc w:val="center"/>
              <w:rPr>
                <w:rFonts w:asciiTheme="minorHAnsi" w:hAnsiTheme="minorHAnsi" w:cstheme="minorHAnsi"/>
                <w:b w:val="0"/>
              </w:rPr>
            </w:pPr>
            <w:r w:rsidRPr="00231F4D">
              <w:rPr>
                <w:rFonts w:asciiTheme="minorHAnsi" w:hAnsiTheme="minorHAnsi" w:cstheme="minorHAnsi"/>
                <w:b w:val="0"/>
                <w:sz w:val="18"/>
                <w:szCs w:val="18"/>
              </w:rPr>
              <w:t>What does data say about outcome</w:t>
            </w:r>
            <w:r>
              <w:rPr>
                <w:rFonts w:asciiTheme="minorHAnsi" w:hAnsiTheme="minorHAnsi" w:cstheme="minorHAnsi"/>
                <w:b w:val="0"/>
                <w:sz w:val="18"/>
                <w:szCs w:val="18"/>
              </w:rPr>
              <w:t>(s)</w:t>
            </w:r>
            <w:r w:rsidRPr="00231F4D">
              <w:rPr>
                <w:rFonts w:asciiTheme="minorHAnsi" w:hAnsiTheme="minorHAnsi" w:cstheme="minorHAnsi"/>
                <w:b w:val="0"/>
                <w:sz w:val="18"/>
                <w:szCs w:val="18"/>
              </w:rPr>
              <w:t>?</w:t>
            </w:r>
          </w:p>
        </w:tc>
      </w:tr>
      <w:tr w:rsidR="009B1F74" w14:paraId="14E2BB99" w14:textId="77777777" w:rsidTr="00984757">
        <w:trPr>
          <w:cnfStyle w:val="000000100000" w:firstRow="0" w:lastRow="0" w:firstColumn="0" w:lastColumn="0" w:oddVBand="0" w:evenVBand="0" w:oddHBand="1" w:evenHBand="0" w:firstRowFirstColumn="0" w:firstRowLastColumn="0" w:lastRowFirstColumn="0" w:lastRowLastColumn="0"/>
          <w:trHeight w:val="1278"/>
          <w:jc w:val="center"/>
        </w:trPr>
        <w:tc>
          <w:tcPr>
            <w:tcW w:w="3680" w:type="dxa"/>
            <w:tcBorders>
              <w:right w:val="single" w:sz="18" w:space="0" w:color="4F81BD" w:themeColor="accent1"/>
            </w:tcBorders>
          </w:tcPr>
          <w:p w14:paraId="439B2F3B" w14:textId="77777777" w:rsidR="009B1F74" w:rsidRPr="00F1262E" w:rsidRDefault="009B1F74" w:rsidP="009746F5">
            <w:pPr>
              <w:rPr>
                <w:rFonts w:asciiTheme="minorHAnsi" w:hAnsiTheme="minorHAnsi" w:cstheme="minorHAnsi"/>
              </w:rPr>
            </w:pPr>
            <w:r>
              <w:t xml:space="preserve">Demonstrate effective </w:t>
            </w:r>
            <w:r w:rsidRPr="00681433">
              <w:rPr>
                <w:u w:val="single"/>
              </w:rPr>
              <w:t>project management</w:t>
            </w:r>
            <w:r>
              <w:t xml:space="preserve"> in the execution of professional media.</w:t>
            </w:r>
          </w:p>
        </w:tc>
        <w:tc>
          <w:tcPr>
            <w:tcW w:w="3565" w:type="dxa"/>
          </w:tcPr>
          <w:p w14:paraId="336FD129" w14:textId="77777777" w:rsidR="009B1F74" w:rsidRPr="00F1262E" w:rsidRDefault="009B1F74" w:rsidP="009746F5">
            <w:pPr>
              <w:rPr>
                <w:rFonts w:asciiTheme="minorHAnsi" w:hAnsiTheme="minorHAnsi" w:cstheme="minorHAnsi"/>
              </w:rPr>
            </w:pPr>
            <w:r>
              <w:t>Outcome 4, project management has been targeted to improve the consistency, quality, and presentation standards of student portfolios going forward. To further this goal, we propose a curricular change involving an adjustment to the course sequence for ARTV2355 and ARTV2351. Currently, ARTV2351 is a prerequisite for ARTV2355. The new sequence would make ARTV2355 the prerequisite for ARTV2351.</w:t>
            </w:r>
          </w:p>
        </w:tc>
        <w:tc>
          <w:tcPr>
            <w:tcW w:w="1835" w:type="dxa"/>
            <w:tcBorders>
              <w:right w:val="single" w:sz="18" w:space="0" w:color="4F81BD" w:themeColor="accent1"/>
            </w:tcBorders>
          </w:tcPr>
          <w:p w14:paraId="63B7ECDB" w14:textId="77777777" w:rsidR="009B1F74" w:rsidRDefault="009B1F74" w:rsidP="009746F5">
            <w:pPr>
              <w:rPr>
                <w:rFonts w:asciiTheme="minorHAnsi" w:hAnsiTheme="minorHAnsi" w:cstheme="minorHAnsi"/>
              </w:rPr>
            </w:pPr>
            <w:r>
              <w:rPr>
                <w:rFonts w:asciiTheme="minorHAnsi" w:hAnsiTheme="minorHAnsi" w:cstheme="minorHAnsi"/>
              </w:rPr>
              <w:t>2013-2014 ARTV2335 student performance:</w:t>
            </w:r>
          </w:p>
          <w:p w14:paraId="22067B08" w14:textId="77777777" w:rsidR="009B1F74" w:rsidRDefault="009B1F74" w:rsidP="009746F5">
            <w:pPr>
              <w:rPr>
                <w:rFonts w:asciiTheme="minorHAnsi" w:hAnsiTheme="minorHAnsi" w:cstheme="minorHAnsi"/>
              </w:rPr>
            </w:pPr>
          </w:p>
          <w:p w14:paraId="6DAAA3D7" w14:textId="77777777" w:rsidR="009B1F74" w:rsidRDefault="009B1F74" w:rsidP="009746F5">
            <w:pPr>
              <w:rPr>
                <w:rFonts w:asciiTheme="minorHAnsi" w:hAnsiTheme="minorHAnsi" w:cstheme="minorHAnsi"/>
              </w:rPr>
            </w:pPr>
            <w:r>
              <w:rPr>
                <w:rFonts w:asciiTheme="minorHAnsi" w:hAnsiTheme="minorHAnsi" w:cstheme="minorHAnsi"/>
              </w:rPr>
              <w:t>1 - 84%</w:t>
            </w:r>
          </w:p>
          <w:p w14:paraId="465C6950" w14:textId="77777777" w:rsidR="009B1F74" w:rsidRDefault="009B1F74" w:rsidP="009746F5">
            <w:pPr>
              <w:rPr>
                <w:rFonts w:asciiTheme="minorHAnsi" w:hAnsiTheme="minorHAnsi" w:cstheme="minorHAnsi"/>
              </w:rPr>
            </w:pPr>
            <w:r>
              <w:rPr>
                <w:rFonts w:asciiTheme="minorHAnsi" w:hAnsiTheme="minorHAnsi" w:cstheme="minorHAnsi"/>
              </w:rPr>
              <w:t>2 - 45%</w:t>
            </w:r>
          </w:p>
          <w:p w14:paraId="624105CA" w14:textId="77777777" w:rsidR="009B1F74" w:rsidRDefault="009B1F74" w:rsidP="009746F5">
            <w:pPr>
              <w:rPr>
                <w:rFonts w:asciiTheme="minorHAnsi" w:hAnsiTheme="minorHAnsi" w:cstheme="minorHAnsi"/>
              </w:rPr>
            </w:pPr>
            <w:r>
              <w:rPr>
                <w:rFonts w:asciiTheme="minorHAnsi" w:hAnsiTheme="minorHAnsi" w:cstheme="minorHAnsi"/>
              </w:rPr>
              <w:t>3 - 0%</w:t>
            </w:r>
          </w:p>
          <w:p w14:paraId="73880D84" w14:textId="77777777" w:rsidR="009B1F74" w:rsidRDefault="009B1F74" w:rsidP="009746F5">
            <w:pPr>
              <w:rPr>
                <w:rFonts w:asciiTheme="minorHAnsi" w:hAnsiTheme="minorHAnsi" w:cstheme="minorHAnsi"/>
              </w:rPr>
            </w:pPr>
            <w:r>
              <w:rPr>
                <w:rFonts w:asciiTheme="minorHAnsi" w:hAnsiTheme="minorHAnsi" w:cstheme="minorHAnsi"/>
              </w:rPr>
              <w:t>4 - 100%</w:t>
            </w:r>
          </w:p>
          <w:p w14:paraId="457B79D0" w14:textId="77777777" w:rsidR="009B1F74" w:rsidRDefault="009B1F74" w:rsidP="009746F5">
            <w:pPr>
              <w:rPr>
                <w:rFonts w:asciiTheme="minorHAnsi" w:hAnsiTheme="minorHAnsi" w:cstheme="minorHAnsi"/>
              </w:rPr>
            </w:pPr>
            <w:r>
              <w:rPr>
                <w:rFonts w:asciiTheme="minorHAnsi" w:hAnsiTheme="minorHAnsi" w:cstheme="minorHAnsi"/>
              </w:rPr>
              <w:t>5 - 68%</w:t>
            </w:r>
          </w:p>
          <w:p w14:paraId="2CFCF9F4" w14:textId="77777777" w:rsidR="009B1F74" w:rsidRDefault="009B1F74" w:rsidP="009746F5">
            <w:pPr>
              <w:rPr>
                <w:rFonts w:asciiTheme="minorHAnsi" w:hAnsiTheme="minorHAnsi" w:cstheme="minorHAnsi"/>
              </w:rPr>
            </w:pPr>
            <w:r>
              <w:rPr>
                <w:rFonts w:asciiTheme="minorHAnsi" w:hAnsiTheme="minorHAnsi" w:cstheme="minorHAnsi"/>
              </w:rPr>
              <w:t>6 - 98.7%</w:t>
            </w:r>
          </w:p>
          <w:p w14:paraId="000DD3DF" w14:textId="77777777" w:rsidR="009B1F74" w:rsidRDefault="009B1F74" w:rsidP="009746F5">
            <w:pPr>
              <w:rPr>
                <w:rFonts w:asciiTheme="minorHAnsi" w:hAnsiTheme="minorHAnsi" w:cstheme="minorHAnsi"/>
              </w:rPr>
            </w:pPr>
            <w:r>
              <w:rPr>
                <w:rFonts w:asciiTheme="minorHAnsi" w:hAnsiTheme="minorHAnsi" w:cstheme="minorHAnsi"/>
              </w:rPr>
              <w:t>7 - 100%</w:t>
            </w:r>
          </w:p>
          <w:p w14:paraId="2D85B767" w14:textId="77777777" w:rsidR="009B1F74" w:rsidRDefault="009B1F74" w:rsidP="009746F5">
            <w:pPr>
              <w:rPr>
                <w:rFonts w:asciiTheme="minorHAnsi" w:hAnsiTheme="minorHAnsi" w:cstheme="minorHAnsi"/>
              </w:rPr>
            </w:pPr>
            <w:r>
              <w:rPr>
                <w:rFonts w:asciiTheme="minorHAnsi" w:hAnsiTheme="minorHAnsi" w:cstheme="minorHAnsi"/>
              </w:rPr>
              <w:t>8 - 93.3%</w:t>
            </w:r>
          </w:p>
          <w:p w14:paraId="7DD9B665" w14:textId="77777777" w:rsidR="009B1F74" w:rsidRDefault="009B1F74" w:rsidP="009746F5">
            <w:pPr>
              <w:rPr>
                <w:rFonts w:asciiTheme="minorHAnsi" w:hAnsiTheme="minorHAnsi" w:cstheme="minorHAnsi"/>
              </w:rPr>
            </w:pPr>
            <w:r>
              <w:rPr>
                <w:rFonts w:asciiTheme="minorHAnsi" w:hAnsiTheme="minorHAnsi" w:cstheme="minorHAnsi"/>
              </w:rPr>
              <w:t>9 - 91.7%</w:t>
            </w:r>
          </w:p>
          <w:p w14:paraId="24372F36" w14:textId="77777777" w:rsidR="009B1F74" w:rsidRPr="00F1262E" w:rsidRDefault="009B1F74" w:rsidP="009746F5">
            <w:pPr>
              <w:rPr>
                <w:rFonts w:asciiTheme="minorHAnsi" w:hAnsiTheme="minorHAnsi" w:cstheme="minorHAnsi"/>
              </w:rPr>
            </w:pPr>
            <w:r>
              <w:rPr>
                <w:rFonts w:asciiTheme="minorHAnsi" w:hAnsiTheme="minorHAnsi" w:cstheme="minorHAnsi"/>
              </w:rPr>
              <w:t>10 - 75%</w:t>
            </w:r>
          </w:p>
        </w:tc>
        <w:tc>
          <w:tcPr>
            <w:tcW w:w="3060" w:type="dxa"/>
            <w:tcBorders>
              <w:left w:val="single" w:sz="18" w:space="0" w:color="4F81BD" w:themeColor="accent1"/>
            </w:tcBorders>
          </w:tcPr>
          <w:p w14:paraId="741B0175" w14:textId="77777777" w:rsidR="009B1F74" w:rsidRDefault="009B1F74" w:rsidP="009746F5">
            <w:pPr>
              <w:rPr>
                <w:rFonts w:asciiTheme="minorHAnsi" w:hAnsiTheme="minorHAnsi" w:cstheme="minorHAnsi"/>
              </w:rPr>
            </w:pPr>
            <w:r>
              <w:rPr>
                <w:rFonts w:asciiTheme="minorHAnsi" w:hAnsiTheme="minorHAnsi" w:cstheme="minorHAnsi"/>
              </w:rPr>
              <w:t>After implementation of the curriculum sequence change outlined in the Action Plan, it was observed that the course offering frequency created a bottleneck whereby students sometimes had to wait a year to take the GAME2325 prerequisite (previously ARTV2355) if the class did not make in either the fall or spring semester. The offering frequency is affected by the number of students continuing on to higher level courses in the program. After faculty discussed the most critical student learning outcomes involved in these courses, we decided it would best serve the students to allow them to take ARTV2351 or GAME2325, whichever course was available, in the next semester. The prerequisite for both courses was changed to ARTV1341 so that students were eligible to take either course next.</w:t>
            </w:r>
          </w:p>
          <w:p w14:paraId="4B13D359" w14:textId="77777777" w:rsidR="009B1F74" w:rsidRDefault="009B1F74" w:rsidP="009746F5">
            <w:pPr>
              <w:rPr>
                <w:rFonts w:asciiTheme="minorHAnsi" w:hAnsiTheme="minorHAnsi" w:cstheme="minorHAnsi"/>
              </w:rPr>
            </w:pPr>
          </w:p>
          <w:p w14:paraId="529FE242" w14:textId="77777777" w:rsidR="009B1F74" w:rsidRPr="00F1262E" w:rsidRDefault="009B1F74" w:rsidP="009746F5">
            <w:pPr>
              <w:rPr>
                <w:rFonts w:asciiTheme="minorHAnsi" w:hAnsiTheme="minorHAnsi" w:cstheme="minorHAnsi"/>
              </w:rPr>
            </w:pPr>
            <w:r>
              <w:rPr>
                <w:rFonts w:asciiTheme="minorHAnsi" w:hAnsiTheme="minorHAnsi" w:cstheme="minorHAnsi"/>
              </w:rPr>
              <w:t xml:space="preserve">Also, during this time a major curriculum revision was made to conform with the THECB's mandate that AAS programs be capped at 60 credit hours (vs. the previous 72 credit hours). This required difficult decisions in removing 12 credit hours of upper level course requirements. There were two important outcomes of this change: 1) Due to the lower credit hour requirement, more students began to finish the program earlier; 2) Effective in fall 2016, we created the Enhanced Skills Certificate (ESC) in Advanced Animation &amp; Game Art Production which allowed students to take additional course work to further improve their skills. </w:t>
            </w:r>
          </w:p>
          <w:p w14:paraId="5AB7F184" w14:textId="77777777" w:rsidR="009B1F74" w:rsidRPr="00F1262E" w:rsidRDefault="009B1F74" w:rsidP="009746F5">
            <w:pPr>
              <w:rPr>
                <w:rFonts w:asciiTheme="minorHAnsi" w:hAnsiTheme="minorHAnsi" w:cstheme="minorHAnsi"/>
              </w:rPr>
            </w:pPr>
          </w:p>
        </w:tc>
        <w:tc>
          <w:tcPr>
            <w:tcW w:w="2430" w:type="dxa"/>
          </w:tcPr>
          <w:p w14:paraId="5DB9323D" w14:textId="77777777" w:rsidR="009B1F74" w:rsidRDefault="009B1F74" w:rsidP="009746F5">
            <w:pPr>
              <w:rPr>
                <w:rFonts w:asciiTheme="minorHAnsi" w:hAnsiTheme="minorHAnsi" w:cstheme="minorHAnsi"/>
              </w:rPr>
            </w:pPr>
            <w:r>
              <w:rPr>
                <w:rFonts w:asciiTheme="minorHAnsi" w:hAnsiTheme="minorHAnsi" w:cstheme="minorHAnsi"/>
              </w:rPr>
              <w:lastRenderedPageBreak/>
              <w:t>The data analyzed here was pulled from the ARTV2335 Portfolio/Capstone course.</w:t>
            </w:r>
          </w:p>
          <w:p w14:paraId="24C92D79" w14:textId="77777777" w:rsidR="009B1F74" w:rsidRDefault="009B1F74" w:rsidP="009746F5">
            <w:pPr>
              <w:rPr>
                <w:rFonts w:asciiTheme="minorHAnsi" w:hAnsiTheme="minorHAnsi" w:cstheme="minorHAnsi"/>
              </w:rPr>
            </w:pPr>
          </w:p>
          <w:p w14:paraId="54E2303B" w14:textId="77777777" w:rsidR="009B1F74" w:rsidRDefault="009B1F74" w:rsidP="009746F5">
            <w:pPr>
              <w:rPr>
                <w:rFonts w:asciiTheme="minorHAnsi" w:hAnsiTheme="minorHAnsi" w:cstheme="minorHAnsi"/>
              </w:rPr>
            </w:pPr>
            <w:r>
              <w:rPr>
                <w:rFonts w:asciiTheme="minorHAnsi" w:hAnsiTheme="minorHAnsi" w:cstheme="minorHAnsi"/>
              </w:rPr>
              <w:t>Student data shows a success rate of 75.6% for 10 students. This includes 2 failing grades. The failing grades appear to be anomalies due to both students choosing to pursue different career paths during their final semester. They each stated as much when asked about the quality of their work in the capstone course.</w:t>
            </w:r>
          </w:p>
          <w:p w14:paraId="046126E5" w14:textId="77777777" w:rsidR="009B1F74" w:rsidRDefault="009B1F74" w:rsidP="009746F5">
            <w:pPr>
              <w:rPr>
                <w:rFonts w:asciiTheme="minorHAnsi" w:hAnsiTheme="minorHAnsi" w:cstheme="minorHAnsi"/>
              </w:rPr>
            </w:pPr>
          </w:p>
          <w:p w14:paraId="1E1DE268" w14:textId="77777777" w:rsidR="009B1F74" w:rsidRDefault="009B1F74" w:rsidP="009746F5">
            <w:pPr>
              <w:rPr>
                <w:rFonts w:asciiTheme="minorHAnsi" w:hAnsiTheme="minorHAnsi" w:cstheme="minorHAnsi"/>
              </w:rPr>
            </w:pPr>
            <w:r>
              <w:rPr>
                <w:rFonts w:asciiTheme="minorHAnsi" w:hAnsiTheme="minorHAnsi" w:cstheme="minorHAnsi"/>
              </w:rPr>
              <w:t>With these exceptions, 7 students performed within a range of 75% - 100% and one had a final grade of 68%, below the passing target.</w:t>
            </w:r>
          </w:p>
          <w:p w14:paraId="7B8360A2" w14:textId="77777777" w:rsidR="009B1F74" w:rsidRDefault="009B1F74" w:rsidP="009746F5">
            <w:pPr>
              <w:rPr>
                <w:rFonts w:asciiTheme="minorHAnsi" w:hAnsiTheme="minorHAnsi" w:cstheme="minorHAnsi"/>
              </w:rPr>
            </w:pPr>
          </w:p>
          <w:p w14:paraId="7A1F112C" w14:textId="77777777" w:rsidR="009B1F74" w:rsidRPr="00F1262E" w:rsidRDefault="009B1F74" w:rsidP="009746F5">
            <w:pPr>
              <w:rPr>
                <w:rFonts w:asciiTheme="minorHAnsi" w:hAnsiTheme="minorHAnsi" w:cstheme="minorHAnsi"/>
              </w:rPr>
            </w:pPr>
            <w:r>
              <w:rPr>
                <w:rFonts w:asciiTheme="minorHAnsi" w:hAnsiTheme="minorHAnsi" w:cstheme="minorHAnsi"/>
              </w:rPr>
              <w:t>With respect to the outcome specified here, 7 of 10 students performed at or exceeding the 75% target.</w:t>
            </w:r>
          </w:p>
        </w:tc>
      </w:tr>
    </w:tbl>
    <w:p w14:paraId="0CE0AD7A" w14:textId="77777777" w:rsidR="009B1F74" w:rsidRDefault="009B1F74" w:rsidP="009B1F74">
      <w:pPr>
        <w:pStyle w:val="Heading2"/>
        <w:numPr>
          <w:ilvl w:val="0"/>
          <w:numId w:val="0"/>
        </w:numPr>
        <w:spacing w:before="0"/>
        <w:rPr>
          <w:sz w:val="22"/>
          <w:szCs w:val="22"/>
        </w:rPr>
      </w:pPr>
    </w:p>
    <w:p w14:paraId="09F7E0D2" w14:textId="77777777" w:rsidR="00984757" w:rsidRDefault="00984757" w:rsidP="009B1F74">
      <w:pPr>
        <w:pStyle w:val="BodyText"/>
        <w:spacing w:before="0" w:after="0"/>
      </w:pPr>
    </w:p>
    <w:p w14:paraId="7EA4B834" w14:textId="77777777" w:rsidR="00984757" w:rsidRDefault="00984757" w:rsidP="009B1F74">
      <w:pPr>
        <w:pStyle w:val="BodyText"/>
        <w:spacing w:before="0" w:after="0"/>
      </w:pPr>
    </w:p>
    <w:p w14:paraId="5CD26B88" w14:textId="77777777" w:rsidR="00984757" w:rsidRDefault="00984757" w:rsidP="009B1F74">
      <w:pPr>
        <w:pStyle w:val="BodyText"/>
        <w:spacing w:before="0" w:after="0"/>
      </w:pPr>
    </w:p>
    <w:p w14:paraId="78EB1D55" w14:textId="77777777" w:rsidR="00984757" w:rsidRDefault="00984757" w:rsidP="009B1F74">
      <w:pPr>
        <w:pStyle w:val="BodyText"/>
        <w:spacing w:before="0" w:after="0"/>
      </w:pPr>
    </w:p>
    <w:p w14:paraId="6E29BD69" w14:textId="77777777" w:rsidR="00984757" w:rsidRDefault="00984757" w:rsidP="009B1F74">
      <w:pPr>
        <w:pStyle w:val="BodyText"/>
        <w:spacing w:before="0" w:after="0"/>
      </w:pPr>
    </w:p>
    <w:p w14:paraId="4068CD4D" w14:textId="6ED14AA6" w:rsidR="009B1F74" w:rsidRDefault="009B1F74" w:rsidP="009B1F74">
      <w:pPr>
        <w:pStyle w:val="BodyText"/>
        <w:spacing w:before="0" w:after="0"/>
      </w:pPr>
      <w:r>
        <w:lastRenderedPageBreak/>
        <w:t>Development of a CIP Cycle 2 action plan in the following table will occur at the end of the CIP Cycle 1 and implantation will begin during the third year of the program review cycle.</w:t>
      </w:r>
    </w:p>
    <w:p w14:paraId="0F98E0C9" w14:textId="77777777" w:rsidR="009B1F74" w:rsidRPr="00F1262E" w:rsidRDefault="009B1F74" w:rsidP="009B1F74">
      <w:pPr>
        <w:spacing w:before="360"/>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CIP </w:t>
      </w:r>
      <w:r w:rsidRPr="00F1262E">
        <w:rPr>
          <w:rFonts w:asciiTheme="majorHAnsi" w:hAnsiTheme="majorHAnsi"/>
          <w:b/>
          <w:color w:val="4F81BD" w:themeColor="accent1"/>
          <w:sz w:val="24"/>
          <w:szCs w:val="24"/>
        </w:rPr>
        <w:t>Cycle 2 Table</w:t>
      </w:r>
    </w:p>
    <w:tbl>
      <w:tblPr>
        <w:tblStyle w:val="LightGrid-Accent1"/>
        <w:tblW w:w="14412" w:type="dxa"/>
        <w:jc w:val="center"/>
        <w:tblLook w:val="0420" w:firstRow="1" w:lastRow="0" w:firstColumn="0" w:lastColumn="0" w:noHBand="0" w:noVBand="1"/>
      </w:tblPr>
      <w:tblGrid>
        <w:gridCol w:w="4670"/>
        <w:gridCol w:w="3510"/>
        <w:gridCol w:w="1454"/>
        <w:gridCol w:w="2389"/>
        <w:gridCol w:w="2389"/>
      </w:tblGrid>
      <w:tr w:rsidR="009B1F74" w:rsidRPr="00E90D55" w14:paraId="7B3E7511" w14:textId="77777777" w:rsidTr="00984757">
        <w:trPr>
          <w:cnfStyle w:val="100000000000" w:firstRow="1" w:lastRow="0" w:firstColumn="0" w:lastColumn="0" w:oddVBand="0" w:evenVBand="0" w:oddHBand="0" w:evenHBand="0" w:firstRowFirstColumn="0" w:firstRowLastColumn="0" w:lastRowFirstColumn="0" w:lastRowLastColumn="0"/>
          <w:tblHeader/>
          <w:jc w:val="center"/>
        </w:trPr>
        <w:tc>
          <w:tcPr>
            <w:tcW w:w="4670" w:type="dxa"/>
            <w:tcBorders>
              <w:right w:val="single" w:sz="18" w:space="0" w:color="4F81BD" w:themeColor="accent1"/>
            </w:tcBorders>
          </w:tcPr>
          <w:p w14:paraId="76F44261" w14:textId="77777777" w:rsidR="009B1F74" w:rsidRDefault="009B1F74" w:rsidP="009746F5">
            <w:pPr>
              <w:jc w:val="center"/>
              <w:rPr>
                <w:rFonts w:asciiTheme="minorHAnsi" w:hAnsiTheme="minorHAnsi" w:cstheme="minorHAnsi"/>
              </w:rPr>
            </w:pPr>
            <w:r>
              <w:rPr>
                <w:rFonts w:asciiTheme="minorHAnsi" w:hAnsiTheme="minorHAnsi" w:cstheme="minorHAnsi"/>
              </w:rPr>
              <w:t xml:space="preserve"> </w:t>
            </w:r>
            <w:r w:rsidRPr="00231F4D">
              <w:rPr>
                <w:rFonts w:asciiTheme="minorHAnsi" w:hAnsiTheme="minorHAnsi" w:cstheme="minorHAnsi"/>
              </w:rPr>
              <w:t>Outcomes</w:t>
            </w:r>
          </w:p>
          <w:p w14:paraId="13A36865" w14:textId="77777777" w:rsidR="009B1F74" w:rsidRPr="00E90D55" w:rsidRDefault="009B1F74" w:rsidP="009746F5">
            <w:pPr>
              <w:jc w:val="center"/>
              <w:rPr>
                <w:rFonts w:asciiTheme="minorHAnsi" w:hAnsiTheme="minorHAnsi" w:cstheme="minorHAnsi"/>
              </w:rPr>
            </w:pPr>
            <w:r>
              <w:rPr>
                <w:rFonts w:asciiTheme="minorHAnsi" w:hAnsiTheme="minorHAnsi" w:cstheme="minorHAnsi"/>
              </w:rPr>
              <w:t>(May come f</w:t>
            </w:r>
            <w:r w:rsidRPr="00231F4D">
              <w:rPr>
                <w:rFonts w:asciiTheme="minorHAnsi" w:hAnsiTheme="minorHAnsi" w:cstheme="minorHAnsi"/>
              </w:rPr>
              <w:t xml:space="preserve">rom </w:t>
            </w:r>
            <w:r>
              <w:rPr>
                <w:rFonts w:asciiTheme="minorHAnsi" w:hAnsiTheme="minorHAnsi" w:cstheme="minorHAnsi"/>
              </w:rPr>
              <w:t>CIP Cycle 1 Table or from the Outcomes, Measures &amp; Targets Table if it includes any expected outcomes that were not address during CIP Cycle 1)</w:t>
            </w:r>
          </w:p>
          <w:p w14:paraId="7EE8A68E" w14:textId="77777777" w:rsidR="009B1F74" w:rsidRPr="00B84D6C" w:rsidRDefault="009B1F74" w:rsidP="009746F5">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program</w:t>
            </w:r>
            <w:r>
              <w:rPr>
                <w:rFonts w:asciiTheme="minorHAnsi" w:hAnsiTheme="minorHAnsi" w:cstheme="minorHAnsi"/>
                <w:b w:val="0"/>
                <w:sz w:val="18"/>
                <w:szCs w:val="18"/>
              </w:rPr>
              <w:t>/department</w:t>
            </w:r>
          </w:p>
        </w:tc>
        <w:tc>
          <w:tcPr>
            <w:tcW w:w="3510" w:type="dxa"/>
          </w:tcPr>
          <w:p w14:paraId="3E4A9ACF"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 xml:space="preserve"> Adapt Action Plan</w:t>
            </w:r>
            <w:r w:rsidRPr="00231F4D">
              <w:rPr>
                <w:rFonts w:asciiTheme="minorHAnsi" w:hAnsiTheme="minorHAnsi" w:cstheme="minorHAnsi"/>
              </w:rPr>
              <w:br/>
            </w:r>
            <w:r>
              <w:rPr>
                <w:rFonts w:asciiTheme="minorHAnsi" w:hAnsiTheme="minorHAnsi" w:cstheme="minorHAnsi"/>
              </w:rPr>
              <w:t xml:space="preserve">(Review Cycle </w:t>
            </w:r>
            <w:r w:rsidRPr="00231F4D">
              <w:rPr>
                <w:rFonts w:asciiTheme="minorHAnsi" w:hAnsiTheme="minorHAnsi" w:cstheme="minorHAnsi"/>
              </w:rPr>
              <w:t xml:space="preserve">Year </w:t>
            </w:r>
            <w:r>
              <w:rPr>
                <w:rFonts w:asciiTheme="minorHAnsi" w:hAnsiTheme="minorHAnsi" w:cstheme="minorHAnsi"/>
              </w:rPr>
              <w:t>2)</w:t>
            </w:r>
          </w:p>
          <w:p w14:paraId="4F21CF8A" w14:textId="77777777" w:rsidR="009B1F74" w:rsidRPr="00231F4D" w:rsidRDefault="009B1F74" w:rsidP="009746F5">
            <w:pPr>
              <w:jc w:val="center"/>
              <w:rPr>
                <w:rFonts w:asciiTheme="minorHAnsi" w:hAnsiTheme="minorHAnsi"/>
                <w:b w:val="0"/>
                <w:noProof/>
                <w:sz w:val="18"/>
                <w:szCs w:val="18"/>
              </w:rPr>
            </w:pPr>
            <w:r w:rsidRPr="00231F4D">
              <w:rPr>
                <w:rFonts w:asciiTheme="minorHAnsi" w:hAnsiTheme="minorHAnsi" w:cstheme="minorHAnsi"/>
                <w:b w:val="0"/>
                <w:sz w:val="18"/>
                <w:szCs w:val="18"/>
              </w:rPr>
              <w:t xml:space="preserve">Based on analysis, </w:t>
            </w:r>
            <w:r>
              <w:rPr>
                <w:rFonts w:asciiTheme="minorHAnsi" w:hAnsiTheme="minorHAnsi" w:cstheme="minorHAnsi"/>
                <w:b w:val="0"/>
                <w:sz w:val="18"/>
                <w:szCs w:val="18"/>
              </w:rPr>
              <w:t>identify</w:t>
            </w:r>
            <w:r w:rsidRPr="00231F4D">
              <w:rPr>
                <w:rFonts w:asciiTheme="minorHAnsi" w:hAnsiTheme="minorHAnsi" w:cstheme="minorHAnsi"/>
                <w:b w:val="0"/>
                <w:sz w:val="18"/>
                <w:szCs w:val="18"/>
              </w:rPr>
              <w:t xml:space="preserve"> </w:t>
            </w:r>
            <w:r>
              <w:rPr>
                <w:rFonts w:asciiTheme="minorHAnsi" w:hAnsiTheme="minorHAnsi" w:cstheme="minorHAnsi"/>
                <w:b w:val="0"/>
                <w:sz w:val="18"/>
                <w:szCs w:val="18"/>
              </w:rPr>
              <w:t xml:space="preserve">new </w:t>
            </w:r>
            <w:r w:rsidRPr="00231F4D">
              <w:rPr>
                <w:rFonts w:asciiTheme="minorHAnsi" w:hAnsiTheme="minorHAnsi" w:cstheme="minorHAnsi"/>
                <w:b w:val="0"/>
                <w:sz w:val="18"/>
                <w:szCs w:val="18"/>
              </w:rPr>
              <w:t>action</w:t>
            </w:r>
            <w:r>
              <w:rPr>
                <w:rFonts w:asciiTheme="minorHAnsi" w:hAnsiTheme="minorHAnsi" w:cstheme="minorHAnsi"/>
                <w:b w:val="0"/>
                <w:sz w:val="18"/>
                <w:szCs w:val="18"/>
              </w:rPr>
              <w:t>(s)</w:t>
            </w:r>
            <w:r w:rsidRPr="00231F4D">
              <w:rPr>
                <w:rFonts w:asciiTheme="minorHAnsi" w:hAnsiTheme="minorHAnsi" w:cstheme="minorHAnsi"/>
                <w:b w:val="0"/>
                <w:sz w:val="18"/>
                <w:szCs w:val="18"/>
              </w:rPr>
              <w:t xml:space="preserve"> </w:t>
            </w:r>
            <w:r>
              <w:rPr>
                <w:rFonts w:asciiTheme="minorHAnsi" w:hAnsiTheme="minorHAnsi" w:cstheme="minorHAnsi"/>
                <w:b w:val="0"/>
                <w:sz w:val="18"/>
                <w:szCs w:val="18"/>
              </w:rPr>
              <w:t>or adapt prior actions to accomplish outcome</w:t>
            </w:r>
            <w:r w:rsidRPr="00231F4D">
              <w:rPr>
                <w:rFonts w:asciiTheme="minorHAnsi" w:hAnsiTheme="minorHAnsi" w:cstheme="minorHAnsi"/>
                <w:b w:val="0"/>
                <w:sz w:val="18"/>
                <w:szCs w:val="18"/>
              </w:rPr>
              <w:t>.</w:t>
            </w:r>
          </w:p>
        </w:tc>
        <w:tc>
          <w:tcPr>
            <w:tcW w:w="1454" w:type="dxa"/>
            <w:tcBorders>
              <w:right w:val="single" w:sz="18" w:space="0" w:color="4F81BD" w:themeColor="accent1"/>
            </w:tcBorders>
          </w:tcPr>
          <w:p w14:paraId="5F23C0E4"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Implement Action Plan</w:t>
            </w:r>
          </w:p>
          <w:p w14:paraId="79ABC9E9"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 xml:space="preserve">(Review Cycle </w:t>
            </w:r>
            <w:r w:rsidRPr="00231F4D">
              <w:rPr>
                <w:rFonts w:asciiTheme="minorHAnsi" w:hAnsiTheme="minorHAnsi" w:cstheme="minorHAnsi"/>
              </w:rPr>
              <w:t>Year 3</w:t>
            </w:r>
            <w:r>
              <w:rPr>
                <w:rFonts w:asciiTheme="minorHAnsi" w:hAnsiTheme="minorHAnsi" w:cstheme="minorHAnsi"/>
              </w:rPr>
              <w:t>)</w:t>
            </w:r>
          </w:p>
          <w:p w14:paraId="4E6DDCBD" w14:textId="77777777" w:rsidR="009B1F74" w:rsidRDefault="009B1F74" w:rsidP="009746F5">
            <w:pPr>
              <w:jc w:val="center"/>
              <w:rPr>
                <w:rFonts w:asciiTheme="minorHAnsi" w:hAnsiTheme="minorHAnsi"/>
                <w:b w:val="0"/>
                <w:noProof/>
                <w:sz w:val="18"/>
                <w:szCs w:val="18"/>
              </w:rPr>
            </w:pPr>
          </w:p>
          <w:p w14:paraId="67BA2A7B" w14:textId="77777777" w:rsidR="009B1F74" w:rsidRDefault="009B1F74" w:rsidP="009746F5">
            <w:pPr>
              <w:jc w:val="center"/>
              <w:rPr>
                <w:rFonts w:asciiTheme="minorHAnsi" w:hAnsiTheme="minorHAnsi"/>
                <w:b w:val="0"/>
                <w:noProof/>
                <w:sz w:val="18"/>
                <w:szCs w:val="18"/>
              </w:rPr>
            </w:pPr>
          </w:p>
          <w:p w14:paraId="6BFC9922" w14:textId="77777777" w:rsidR="009B1F74" w:rsidRPr="00F1262E" w:rsidRDefault="009B1F74" w:rsidP="009746F5">
            <w:pPr>
              <w:jc w:val="center"/>
              <w:rPr>
                <w:rFonts w:asciiTheme="minorHAnsi" w:hAnsiTheme="minorHAnsi"/>
                <w:b w:val="0"/>
                <w:noProof/>
                <w:sz w:val="18"/>
                <w:szCs w:val="18"/>
              </w:rPr>
            </w:pPr>
            <w:r w:rsidRPr="00231F4D">
              <w:rPr>
                <w:rFonts w:asciiTheme="minorHAnsi" w:hAnsiTheme="minorHAnsi"/>
                <w:b w:val="0"/>
                <w:noProof/>
                <w:sz w:val="18"/>
                <w:szCs w:val="18"/>
              </w:rPr>
              <w:t xml:space="preserve">Implement </w:t>
            </w:r>
            <w:r>
              <w:rPr>
                <w:rFonts w:asciiTheme="minorHAnsi" w:hAnsiTheme="minorHAnsi"/>
                <w:b w:val="0"/>
                <w:noProof/>
                <w:sz w:val="18"/>
                <w:szCs w:val="18"/>
              </w:rPr>
              <w:t xml:space="preserve">new or adapted </w:t>
            </w:r>
            <w:r w:rsidRPr="00231F4D">
              <w:rPr>
                <w:rFonts w:asciiTheme="minorHAnsi" w:hAnsiTheme="minorHAnsi"/>
                <w:b w:val="0"/>
                <w:noProof/>
                <w:sz w:val="18"/>
                <w:szCs w:val="18"/>
              </w:rPr>
              <w:t>action plan and collect data</w:t>
            </w:r>
          </w:p>
        </w:tc>
        <w:tc>
          <w:tcPr>
            <w:tcW w:w="2389" w:type="dxa"/>
            <w:tcBorders>
              <w:left w:val="single" w:sz="18" w:space="0" w:color="4F81BD" w:themeColor="accent1"/>
            </w:tcBorders>
          </w:tcPr>
          <w:p w14:paraId="548B8F22"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Results Summary</w:t>
            </w:r>
          </w:p>
          <w:p w14:paraId="08FEE6D8"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 xml:space="preserve">(Review cycle </w:t>
            </w:r>
            <w:r w:rsidRPr="00231F4D">
              <w:rPr>
                <w:rFonts w:asciiTheme="minorHAnsi" w:hAnsiTheme="minorHAnsi" w:cstheme="minorHAnsi"/>
              </w:rPr>
              <w:t>Year 4</w:t>
            </w:r>
            <w:r>
              <w:rPr>
                <w:rFonts w:asciiTheme="minorHAnsi" w:hAnsiTheme="minorHAnsi" w:cstheme="minorHAnsi"/>
              </w:rPr>
              <w:t>)</w:t>
            </w:r>
          </w:p>
          <w:p w14:paraId="35EA97A1" w14:textId="77777777" w:rsidR="009B1F74" w:rsidRDefault="009B1F74" w:rsidP="009746F5">
            <w:pPr>
              <w:jc w:val="center"/>
              <w:rPr>
                <w:rFonts w:asciiTheme="minorHAnsi" w:hAnsiTheme="minorHAnsi" w:cstheme="minorHAnsi"/>
                <w:b w:val="0"/>
                <w:sz w:val="18"/>
                <w:szCs w:val="18"/>
              </w:rPr>
            </w:pPr>
          </w:p>
          <w:p w14:paraId="03C7C6F2" w14:textId="77777777" w:rsidR="009B1F74" w:rsidRDefault="009B1F74" w:rsidP="009746F5">
            <w:pPr>
              <w:jc w:val="center"/>
              <w:rPr>
                <w:rFonts w:asciiTheme="minorHAnsi" w:hAnsiTheme="minorHAnsi" w:cstheme="minorHAnsi"/>
                <w:b w:val="0"/>
                <w:sz w:val="18"/>
                <w:szCs w:val="18"/>
              </w:rPr>
            </w:pPr>
          </w:p>
          <w:p w14:paraId="2227E205" w14:textId="77777777" w:rsidR="009B1F74" w:rsidRPr="00231F4D" w:rsidRDefault="009B1F74" w:rsidP="009746F5">
            <w:pPr>
              <w:jc w:val="center"/>
              <w:rPr>
                <w:rFonts w:asciiTheme="minorHAnsi" w:hAnsiTheme="minorHAnsi" w:cstheme="minorHAnsi"/>
                <w:b w:val="0"/>
                <w:sz w:val="18"/>
                <w:szCs w:val="18"/>
              </w:rPr>
            </w:pPr>
          </w:p>
          <w:p w14:paraId="6F16A4D1" w14:textId="77777777" w:rsidR="009B1F74" w:rsidRPr="00F1262E" w:rsidRDefault="009B1F74" w:rsidP="009746F5">
            <w:pPr>
              <w:jc w:val="center"/>
              <w:rPr>
                <w:rFonts w:asciiTheme="minorHAnsi" w:hAnsiTheme="minorHAnsi" w:cstheme="minorHAnsi"/>
                <w:b w:val="0"/>
                <w:sz w:val="18"/>
                <w:szCs w:val="18"/>
              </w:rPr>
            </w:pPr>
            <w:r w:rsidRPr="00231F4D">
              <w:rPr>
                <w:rFonts w:asciiTheme="minorHAnsi" w:hAnsiTheme="minorHAnsi" w:cstheme="minorHAnsi"/>
                <w:b w:val="0"/>
                <w:sz w:val="18"/>
                <w:szCs w:val="18"/>
              </w:rPr>
              <w:t>Summarize collected</w:t>
            </w:r>
            <w:r>
              <w:rPr>
                <w:rFonts w:asciiTheme="minorHAnsi" w:hAnsiTheme="minorHAnsi" w:cstheme="minorHAnsi"/>
                <w:b w:val="0"/>
                <w:sz w:val="18"/>
                <w:szCs w:val="18"/>
              </w:rPr>
              <w:t xml:space="preserve"> data.</w:t>
            </w:r>
          </w:p>
        </w:tc>
        <w:tc>
          <w:tcPr>
            <w:tcW w:w="2389" w:type="dxa"/>
          </w:tcPr>
          <w:p w14:paraId="52BDDF4F" w14:textId="77777777" w:rsidR="009B1F74" w:rsidRPr="00231F4D" w:rsidRDefault="009B1F74" w:rsidP="009746F5">
            <w:pPr>
              <w:jc w:val="center"/>
              <w:rPr>
                <w:rFonts w:asciiTheme="minorHAnsi" w:hAnsiTheme="minorHAnsi" w:cstheme="minorHAnsi"/>
              </w:rPr>
            </w:pPr>
            <w:r w:rsidRPr="00231F4D">
              <w:rPr>
                <w:rFonts w:asciiTheme="minorHAnsi" w:hAnsiTheme="minorHAnsi" w:cstheme="minorHAnsi"/>
              </w:rPr>
              <w:t>Findings</w:t>
            </w:r>
          </w:p>
          <w:p w14:paraId="592CBD6D" w14:textId="77777777" w:rsidR="009B1F74" w:rsidRPr="00231F4D" w:rsidRDefault="009B1F74" w:rsidP="009746F5">
            <w:pPr>
              <w:jc w:val="center"/>
              <w:rPr>
                <w:rFonts w:asciiTheme="minorHAnsi" w:hAnsiTheme="minorHAnsi" w:cstheme="minorHAnsi"/>
              </w:rPr>
            </w:pPr>
            <w:r>
              <w:rPr>
                <w:rFonts w:asciiTheme="minorHAnsi" w:hAnsiTheme="minorHAnsi" w:cstheme="minorHAnsi"/>
              </w:rPr>
              <w:t xml:space="preserve">(Review Cycle </w:t>
            </w:r>
            <w:r w:rsidRPr="00231F4D">
              <w:rPr>
                <w:rFonts w:asciiTheme="minorHAnsi" w:hAnsiTheme="minorHAnsi" w:cstheme="minorHAnsi"/>
              </w:rPr>
              <w:t>Year 4</w:t>
            </w:r>
            <w:r>
              <w:rPr>
                <w:rFonts w:asciiTheme="minorHAnsi" w:hAnsiTheme="minorHAnsi" w:cstheme="minorHAnsi"/>
              </w:rPr>
              <w:t>)</w:t>
            </w:r>
          </w:p>
          <w:p w14:paraId="246BF5BC" w14:textId="77777777" w:rsidR="009B1F74" w:rsidRDefault="009B1F74" w:rsidP="009746F5">
            <w:pPr>
              <w:jc w:val="center"/>
              <w:rPr>
                <w:rFonts w:asciiTheme="minorHAnsi" w:hAnsiTheme="minorHAnsi" w:cstheme="minorHAnsi"/>
                <w:b w:val="0"/>
                <w:sz w:val="18"/>
                <w:szCs w:val="18"/>
              </w:rPr>
            </w:pPr>
          </w:p>
          <w:p w14:paraId="5CBEFFCB" w14:textId="77777777" w:rsidR="009B1F74" w:rsidRPr="00231F4D" w:rsidRDefault="009B1F74" w:rsidP="009746F5">
            <w:pPr>
              <w:jc w:val="center"/>
              <w:rPr>
                <w:rFonts w:asciiTheme="minorHAnsi" w:hAnsiTheme="minorHAnsi" w:cstheme="minorHAnsi"/>
                <w:b w:val="0"/>
                <w:sz w:val="18"/>
                <w:szCs w:val="18"/>
              </w:rPr>
            </w:pPr>
          </w:p>
          <w:p w14:paraId="2667E810" w14:textId="77777777" w:rsidR="009B1F74" w:rsidRPr="00231F4D" w:rsidRDefault="009B1F74" w:rsidP="009746F5">
            <w:pPr>
              <w:jc w:val="center"/>
              <w:rPr>
                <w:rFonts w:asciiTheme="minorHAnsi" w:hAnsiTheme="minorHAnsi" w:cstheme="minorHAnsi"/>
                <w:b w:val="0"/>
              </w:rPr>
            </w:pPr>
            <w:r>
              <w:rPr>
                <w:rFonts w:asciiTheme="minorHAnsi" w:hAnsiTheme="minorHAnsi" w:cstheme="minorHAnsi"/>
                <w:b w:val="0"/>
                <w:sz w:val="18"/>
                <w:szCs w:val="18"/>
              </w:rPr>
              <w:t>What does data say about outcom</w:t>
            </w:r>
            <w:r w:rsidRPr="00231F4D">
              <w:rPr>
                <w:rFonts w:asciiTheme="minorHAnsi" w:hAnsiTheme="minorHAnsi" w:cstheme="minorHAnsi"/>
                <w:b w:val="0"/>
                <w:sz w:val="18"/>
                <w:szCs w:val="18"/>
              </w:rPr>
              <w:t>e?</w:t>
            </w:r>
          </w:p>
        </w:tc>
      </w:tr>
      <w:tr w:rsidR="009B1F74" w14:paraId="5E252D43" w14:textId="77777777" w:rsidTr="00984757">
        <w:trPr>
          <w:cnfStyle w:val="000000100000" w:firstRow="0" w:lastRow="0" w:firstColumn="0" w:lastColumn="0" w:oddVBand="0" w:evenVBand="0" w:oddHBand="1" w:evenHBand="0" w:firstRowFirstColumn="0" w:firstRowLastColumn="0" w:lastRowFirstColumn="0" w:lastRowLastColumn="0"/>
          <w:trHeight w:val="558"/>
          <w:jc w:val="center"/>
        </w:trPr>
        <w:tc>
          <w:tcPr>
            <w:tcW w:w="4670" w:type="dxa"/>
            <w:tcBorders>
              <w:right w:val="single" w:sz="18" w:space="0" w:color="4F81BD" w:themeColor="accent1"/>
            </w:tcBorders>
          </w:tcPr>
          <w:p w14:paraId="261E036A" w14:textId="77777777" w:rsidR="009B1F74" w:rsidRDefault="009B1F74" w:rsidP="009746F5">
            <w:r>
              <w:t xml:space="preserve">Demonstrate effective </w:t>
            </w:r>
            <w:r w:rsidRPr="00681433">
              <w:rPr>
                <w:u w:val="single"/>
              </w:rPr>
              <w:t>project management</w:t>
            </w:r>
            <w:r>
              <w:t xml:space="preserve"> in the execution of professional media.</w:t>
            </w:r>
          </w:p>
        </w:tc>
        <w:tc>
          <w:tcPr>
            <w:tcW w:w="3510" w:type="dxa"/>
          </w:tcPr>
          <w:p w14:paraId="6875C542" w14:textId="77777777" w:rsidR="009B1F74" w:rsidRDefault="009B1F74" w:rsidP="009746F5">
            <w:r>
              <w:t>We implemented the prerequisite change for ARTV2351 and GAME2325, both requiring ARTV1341 as a prerequisite rather than GAME2325 being a prerequisite for ARTV2351.</w:t>
            </w:r>
          </w:p>
          <w:p w14:paraId="091D6752" w14:textId="77777777" w:rsidR="009B1F74" w:rsidRDefault="009B1F74" w:rsidP="009746F5"/>
          <w:p w14:paraId="48116F4F" w14:textId="77777777" w:rsidR="009B1F74" w:rsidRDefault="009B1F74" w:rsidP="009746F5">
            <w:r>
              <w:t xml:space="preserve">Also, the 60 credit hour AAS was initiated in fall 2015, effectively allowing students to complete their degree more quickly. In tandem with the revised program curriculum, one specific course, ARTV1371 Storyboard and Concept Development, was created as a local need course. It addresses important art foundation skills taught by the previously required ARTS1316 Drawing I class (dropped due to the </w:t>
            </w:r>
            <w:proofErr w:type="gramStart"/>
            <w:r>
              <w:t>60 hour</w:t>
            </w:r>
            <w:proofErr w:type="gramEnd"/>
            <w:r>
              <w:t xml:space="preserve"> maximum) as well as media concept development in the previous ARTV1211 Storyboard course. There was no 3 credit hour version of ARTV1311 available in WECM. We believe that the additional </w:t>
            </w:r>
            <w:r>
              <w:lastRenderedPageBreak/>
              <w:t>contact hours are critical to student success.</w:t>
            </w:r>
          </w:p>
          <w:p w14:paraId="5FE7FE37" w14:textId="77777777" w:rsidR="009B1F74" w:rsidRDefault="009B1F74" w:rsidP="009746F5"/>
          <w:p w14:paraId="62107FFC" w14:textId="77777777" w:rsidR="009B1F74" w:rsidRDefault="009B1F74" w:rsidP="009746F5">
            <w:r>
              <w:t>Further, ARTV2335 Portfolio/Capstone students have requirements at the beginning of the semester to set their portfolio goals and a 16-week production schedule to accomplish those goals.</w:t>
            </w:r>
          </w:p>
        </w:tc>
        <w:tc>
          <w:tcPr>
            <w:tcW w:w="1454" w:type="dxa"/>
            <w:tcBorders>
              <w:right w:val="single" w:sz="18" w:space="0" w:color="4F81BD" w:themeColor="accent1"/>
            </w:tcBorders>
          </w:tcPr>
          <w:p w14:paraId="3DE04BDD" w14:textId="1B251C51" w:rsidR="009B1F74" w:rsidRPr="00B84D6C" w:rsidRDefault="009B1F74" w:rsidP="009746F5">
            <w:pPr>
              <w:rPr>
                <w:i/>
              </w:rPr>
            </w:pPr>
          </w:p>
        </w:tc>
        <w:tc>
          <w:tcPr>
            <w:tcW w:w="2389" w:type="dxa"/>
            <w:tcBorders>
              <w:left w:val="single" w:sz="18" w:space="0" w:color="4F81BD" w:themeColor="accent1"/>
            </w:tcBorders>
          </w:tcPr>
          <w:p w14:paraId="434D6788" w14:textId="772D2D05" w:rsidR="009B1F74" w:rsidRDefault="009B1F74" w:rsidP="009746F5"/>
        </w:tc>
        <w:tc>
          <w:tcPr>
            <w:tcW w:w="2389" w:type="dxa"/>
          </w:tcPr>
          <w:p w14:paraId="1031B624" w14:textId="701F2DCE" w:rsidR="009B1F74" w:rsidRDefault="009B1F74" w:rsidP="009746F5"/>
        </w:tc>
      </w:tr>
    </w:tbl>
    <w:p w14:paraId="6498D98D" w14:textId="3B62952F" w:rsidR="009B1F74" w:rsidRPr="00727781" w:rsidRDefault="009B1F74" w:rsidP="00A027D4">
      <w:pPr>
        <w:rPr>
          <w:sz w:val="24"/>
          <w:szCs w:val="24"/>
        </w:rPr>
      </w:pPr>
    </w:p>
    <w:sectPr w:rsidR="009B1F74" w:rsidRPr="00727781" w:rsidSect="00AF316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8D8E" w14:textId="77777777" w:rsidR="00537CBB" w:rsidRDefault="00537CBB" w:rsidP="000B6451">
      <w:pPr>
        <w:spacing w:after="0" w:line="240" w:lineRule="auto"/>
      </w:pPr>
      <w:r>
        <w:separator/>
      </w:r>
    </w:p>
  </w:endnote>
  <w:endnote w:type="continuationSeparator" w:id="0">
    <w:p w14:paraId="2C3A0096" w14:textId="77777777" w:rsidR="00537CBB" w:rsidRDefault="00537CBB"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0D8B" w14:textId="77777777" w:rsidR="00537CBB" w:rsidRDefault="00537CBB" w:rsidP="000B6451">
      <w:pPr>
        <w:spacing w:after="0" w:line="240" w:lineRule="auto"/>
      </w:pPr>
      <w:r>
        <w:separator/>
      </w:r>
    </w:p>
  </w:footnote>
  <w:footnote w:type="continuationSeparator" w:id="0">
    <w:p w14:paraId="326A646D" w14:textId="77777777" w:rsidR="00537CBB" w:rsidRDefault="00537CBB" w:rsidP="000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F768" w14:textId="6333A971" w:rsidR="00D87059" w:rsidRPr="007101F4" w:rsidRDefault="00D87059" w:rsidP="007101F4">
    <w:pPr>
      <w:pStyle w:val="Heading1"/>
      <w:jc w:val="center"/>
      <w:rPr>
        <w:sz w:val="16"/>
        <w:szCs w:val="16"/>
      </w:rPr>
    </w:pPr>
    <w:r w:rsidRPr="007A6695">
      <w:rPr>
        <w:noProof/>
      </w:rPr>
      <w:drawing>
        <wp:anchor distT="0" distB="0" distL="114300" distR="114300" simplePos="0" relativeHeight="251679744" behindDoc="0" locked="0" layoutInCell="1" allowOverlap="1" wp14:anchorId="2E582A45" wp14:editId="075A559D">
          <wp:simplePos x="0" y="0"/>
          <wp:positionH relativeFrom="column">
            <wp:posOffset>-409575</wp:posOffset>
          </wp:positionH>
          <wp:positionV relativeFrom="paragraph">
            <wp:posOffset>-132927</wp:posOffset>
          </wp:positionV>
          <wp:extent cx="703978" cy="635000"/>
          <wp:effectExtent l="0" t="0" r="127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Workforce program Review</w:t>
    </w:r>
    <w:r>
      <w:tab/>
      <w:t xml:space="preserve">                                                             </w:t>
    </w:r>
  </w:p>
  <w:p w14:paraId="2ECA17BD" w14:textId="77777777" w:rsidR="00D87059" w:rsidRDefault="00D87059" w:rsidP="00A40379">
    <w:pPr>
      <w:pStyle w:val="Heading1"/>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808"/>
    <w:multiLevelType w:val="hybridMultilevel"/>
    <w:tmpl w:val="C3FC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64B"/>
    <w:multiLevelType w:val="hybridMultilevel"/>
    <w:tmpl w:val="13E8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1B4C"/>
    <w:multiLevelType w:val="hybridMultilevel"/>
    <w:tmpl w:val="B9E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724CF"/>
    <w:multiLevelType w:val="hybridMultilevel"/>
    <w:tmpl w:val="B346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20E4D"/>
    <w:multiLevelType w:val="hybridMultilevel"/>
    <w:tmpl w:val="026EB8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F3357"/>
    <w:multiLevelType w:val="hybridMultilevel"/>
    <w:tmpl w:val="8F5C5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FC571C"/>
    <w:multiLevelType w:val="hybridMultilevel"/>
    <w:tmpl w:val="1FD6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E76DD"/>
    <w:multiLevelType w:val="hybridMultilevel"/>
    <w:tmpl w:val="0900BF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02408"/>
    <w:multiLevelType w:val="hybridMultilevel"/>
    <w:tmpl w:val="E2D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14E54"/>
    <w:multiLevelType w:val="hybridMultilevel"/>
    <w:tmpl w:val="6122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634604"/>
    <w:multiLevelType w:val="hybridMultilevel"/>
    <w:tmpl w:val="ADE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F9D1211"/>
    <w:multiLevelType w:val="hybridMultilevel"/>
    <w:tmpl w:val="B6DA5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C73372"/>
    <w:multiLevelType w:val="hybridMultilevel"/>
    <w:tmpl w:val="C628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A788E"/>
    <w:multiLevelType w:val="hybridMultilevel"/>
    <w:tmpl w:val="4934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53B"/>
    <w:multiLevelType w:val="hybridMultilevel"/>
    <w:tmpl w:val="BF0A9BD8"/>
    <w:lvl w:ilvl="0" w:tplc="BB8092D0">
      <w:start w:val="20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5046A"/>
    <w:multiLevelType w:val="hybridMultilevel"/>
    <w:tmpl w:val="ECD0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D4ABB"/>
    <w:multiLevelType w:val="hybridMultilevel"/>
    <w:tmpl w:val="4D4E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E62940"/>
    <w:multiLevelType w:val="hybridMultilevel"/>
    <w:tmpl w:val="73EC90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A0671"/>
    <w:multiLevelType w:val="hybridMultilevel"/>
    <w:tmpl w:val="4C54B81C"/>
    <w:lvl w:ilvl="0" w:tplc="9DB6DC2C">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3293772"/>
    <w:multiLevelType w:val="hybridMultilevel"/>
    <w:tmpl w:val="AAE83B1C"/>
    <w:lvl w:ilvl="0" w:tplc="FED2529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7D34FA"/>
    <w:multiLevelType w:val="hybridMultilevel"/>
    <w:tmpl w:val="64F8D75E"/>
    <w:lvl w:ilvl="0" w:tplc="E98E8C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A09AA"/>
    <w:multiLevelType w:val="hybridMultilevel"/>
    <w:tmpl w:val="E94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A6669"/>
    <w:multiLevelType w:val="hybridMultilevel"/>
    <w:tmpl w:val="33582CB6"/>
    <w:lvl w:ilvl="0" w:tplc="04090015">
      <w:start w:val="1"/>
      <w:numFmt w:val="upperLetter"/>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60F01"/>
    <w:multiLevelType w:val="hybridMultilevel"/>
    <w:tmpl w:val="A91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344DE"/>
    <w:multiLevelType w:val="hybridMultilevel"/>
    <w:tmpl w:val="5D922BE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A7F90"/>
    <w:multiLevelType w:val="hybridMultilevel"/>
    <w:tmpl w:val="BB02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1A56E0"/>
    <w:multiLevelType w:val="hybridMultilevel"/>
    <w:tmpl w:val="6936C5A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842A8A"/>
    <w:multiLevelType w:val="hybridMultilevel"/>
    <w:tmpl w:val="609C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658BB"/>
    <w:multiLevelType w:val="hybridMultilevel"/>
    <w:tmpl w:val="A59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6F74"/>
    <w:multiLevelType w:val="hybridMultilevel"/>
    <w:tmpl w:val="CC20989E"/>
    <w:lvl w:ilvl="0" w:tplc="6A8CE5B4">
      <w:numFmt w:val="bullet"/>
      <w:lvlText w:val="-"/>
      <w:lvlJc w:val="left"/>
      <w:pPr>
        <w:ind w:left="720" w:hanging="360"/>
      </w:pPr>
      <w:rPr>
        <w:rFonts w:ascii="Calibri" w:eastAsiaTheme="minorEastAsia" w:hAnsi="Calibri" w:cs="Calibri"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34"/>
  </w:num>
  <w:num w:numId="5">
    <w:abstractNumId w:val="16"/>
  </w:num>
  <w:num w:numId="6">
    <w:abstractNumId w:val="6"/>
  </w:num>
  <w:num w:numId="7">
    <w:abstractNumId w:val="37"/>
  </w:num>
  <w:num w:numId="8">
    <w:abstractNumId w:val="7"/>
  </w:num>
  <w:num w:numId="9">
    <w:abstractNumId w:val="24"/>
  </w:num>
  <w:num w:numId="10">
    <w:abstractNumId w:val="36"/>
  </w:num>
  <w:num w:numId="11">
    <w:abstractNumId w:val="1"/>
  </w:num>
  <w:num w:numId="12">
    <w:abstractNumId w:val="11"/>
  </w:num>
  <w:num w:numId="13">
    <w:abstractNumId w:val="35"/>
  </w:num>
  <w:num w:numId="14">
    <w:abstractNumId w:val="15"/>
  </w:num>
  <w:num w:numId="15">
    <w:abstractNumId w:val="30"/>
  </w:num>
  <w:num w:numId="16">
    <w:abstractNumId w:val="27"/>
  </w:num>
  <w:num w:numId="17">
    <w:abstractNumId w:val="10"/>
  </w:num>
  <w:num w:numId="18">
    <w:abstractNumId w:val="28"/>
  </w:num>
  <w:num w:numId="19">
    <w:abstractNumId w:val="8"/>
  </w:num>
  <w:num w:numId="20">
    <w:abstractNumId w:val="14"/>
  </w:num>
  <w:num w:numId="21">
    <w:abstractNumId w:val="31"/>
  </w:num>
  <w:num w:numId="22">
    <w:abstractNumId w:val="22"/>
  </w:num>
  <w:num w:numId="23">
    <w:abstractNumId w:val="9"/>
  </w:num>
  <w:num w:numId="24">
    <w:abstractNumId w:val="4"/>
  </w:num>
  <w:num w:numId="25">
    <w:abstractNumId w:val="12"/>
  </w:num>
  <w:num w:numId="26">
    <w:abstractNumId w:val="40"/>
  </w:num>
  <w:num w:numId="27">
    <w:abstractNumId w:val="17"/>
  </w:num>
  <w:num w:numId="28">
    <w:abstractNumId w:val="5"/>
  </w:num>
  <w:num w:numId="29">
    <w:abstractNumId w:val="38"/>
  </w:num>
  <w:num w:numId="30">
    <w:abstractNumId w:val="32"/>
  </w:num>
  <w:num w:numId="31">
    <w:abstractNumId w:val="39"/>
  </w:num>
  <w:num w:numId="32">
    <w:abstractNumId w:val="33"/>
  </w:num>
  <w:num w:numId="33">
    <w:abstractNumId w:val="41"/>
  </w:num>
  <w:num w:numId="34">
    <w:abstractNumId w:val="20"/>
  </w:num>
  <w:num w:numId="35">
    <w:abstractNumId w:val="21"/>
  </w:num>
  <w:num w:numId="36">
    <w:abstractNumId w:val="0"/>
  </w:num>
  <w:num w:numId="37">
    <w:abstractNumId w:val="19"/>
  </w:num>
  <w:num w:numId="38">
    <w:abstractNumId w:val="2"/>
  </w:num>
  <w:num w:numId="39">
    <w:abstractNumId w:val="3"/>
  </w:num>
  <w:num w:numId="40">
    <w:abstractNumId w:val="25"/>
  </w:num>
  <w:num w:numId="41">
    <w:abstractNumId w:val="13"/>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8"/>
    <w:rsid w:val="00004C8F"/>
    <w:rsid w:val="00011FB5"/>
    <w:rsid w:val="00015498"/>
    <w:rsid w:val="00015707"/>
    <w:rsid w:val="0001618B"/>
    <w:rsid w:val="00020066"/>
    <w:rsid w:val="000273CA"/>
    <w:rsid w:val="00027EBE"/>
    <w:rsid w:val="00031D28"/>
    <w:rsid w:val="00035CC2"/>
    <w:rsid w:val="00037548"/>
    <w:rsid w:val="00037BCA"/>
    <w:rsid w:val="00037F45"/>
    <w:rsid w:val="00040AE5"/>
    <w:rsid w:val="00056C81"/>
    <w:rsid w:val="00060242"/>
    <w:rsid w:val="000635B7"/>
    <w:rsid w:val="00063A4E"/>
    <w:rsid w:val="00070D72"/>
    <w:rsid w:val="000751F6"/>
    <w:rsid w:val="00082F35"/>
    <w:rsid w:val="00083620"/>
    <w:rsid w:val="00083A1F"/>
    <w:rsid w:val="00090736"/>
    <w:rsid w:val="000A23EE"/>
    <w:rsid w:val="000A2590"/>
    <w:rsid w:val="000A4154"/>
    <w:rsid w:val="000A4A55"/>
    <w:rsid w:val="000B3AB2"/>
    <w:rsid w:val="000B6451"/>
    <w:rsid w:val="000C044C"/>
    <w:rsid w:val="000C09F1"/>
    <w:rsid w:val="000C16C1"/>
    <w:rsid w:val="000C175C"/>
    <w:rsid w:val="000D32B3"/>
    <w:rsid w:val="000D6B4E"/>
    <w:rsid w:val="000D7626"/>
    <w:rsid w:val="000D7F6D"/>
    <w:rsid w:val="000E1319"/>
    <w:rsid w:val="000E1523"/>
    <w:rsid w:val="000E4692"/>
    <w:rsid w:val="000E644C"/>
    <w:rsid w:val="000E6451"/>
    <w:rsid w:val="000F07AF"/>
    <w:rsid w:val="000F2904"/>
    <w:rsid w:val="00101A51"/>
    <w:rsid w:val="00101DBA"/>
    <w:rsid w:val="00105C74"/>
    <w:rsid w:val="00111F35"/>
    <w:rsid w:val="001154F9"/>
    <w:rsid w:val="00125D46"/>
    <w:rsid w:val="0013156B"/>
    <w:rsid w:val="0013285C"/>
    <w:rsid w:val="001329E7"/>
    <w:rsid w:val="001372A9"/>
    <w:rsid w:val="00141740"/>
    <w:rsid w:val="0014406E"/>
    <w:rsid w:val="00147BCA"/>
    <w:rsid w:val="00147F58"/>
    <w:rsid w:val="0016083C"/>
    <w:rsid w:val="001632C2"/>
    <w:rsid w:val="001678F0"/>
    <w:rsid w:val="00176115"/>
    <w:rsid w:val="00182A85"/>
    <w:rsid w:val="001853D5"/>
    <w:rsid w:val="0018628A"/>
    <w:rsid w:val="001914E6"/>
    <w:rsid w:val="001B1EA2"/>
    <w:rsid w:val="001B342A"/>
    <w:rsid w:val="001D2F36"/>
    <w:rsid w:val="001D417D"/>
    <w:rsid w:val="001E3F56"/>
    <w:rsid w:val="001E3F7B"/>
    <w:rsid w:val="001E58AC"/>
    <w:rsid w:val="001F022D"/>
    <w:rsid w:val="001F0BB7"/>
    <w:rsid w:val="001F1B86"/>
    <w:rsid w:val="001F68BA"/>
    <w:rsid w:val="00203791"/>
    <w:rsid w:val="00210CBC"/>
    <w:rsid w:val="00213315"/>
    <w:rsid w:val="00214ACE"/>
    <w:rsid w:val="00214D8F"/>
    <w:rsid w:val="0021756D"/>
    <w:rsid w:val="00220404"/>
    <w:rsid w:val="00221E5A"/>
    <w:rsid w:val="0024265B"/>
    <w:rsid w:val="00254546"/>
    <w:rsid w:val="00254690"/>
    <w:rsid w:val="00257CF9"/>
    <w:rsid w:val="00260C51"/>
    <w:rsid w:val="00262339"/>
    <w:rsid w:val="0026534C"/>
    <w:rsid w:val="002702B7"/>
    <w:rsid w:val="0027301C"/>
    <w:rsid w:val="0027338F"/>
    <w:rsid w:val="00283DE1"/>
    <w:rsid w:val="00291545"/>
    <w:rsid w:val="002B053C"/>
    <w:rsid w:val="002C5E6F"/>
    <w:rsid w:val="002C61E0"/>
    <w:rsid w:val="002C6D9C"/>
    <w:rsid w:val="002C7BE9"/>
    <w:rsid w:val="002D15DE"/>
    <w:rsid w:val="002D4EF1"/>
    <w:rsid w:val="002E1C23"/>
    <w:rsid w:val="002E3029"/>
    <w:rsid w:val="002E39EE"/>
    <w:rsid w:val="002F4E8F"/>
    <w:rsid w:val="00303356"/>
    <w:rsid w:val="00305A2F"/>
    <w:rsid w:val="003078E4"/>
    <w:rsid w:val="00312D73"/>
    <w:rsid w:val="00324A77"/>
    <w:rsid w:val="003258C4"/>
    <w:rsid w:val="00325E5C"/>
    <w:rsid w:val="00327C00"/>
    <w:rsid w:val="003411E9"/>
    <w:rsid w:val="0034333B"/>
    <w:rsid w:val="00343CF2"/>
    <w:rsid w:val="00346AFF"/>
    <w:rsid w:val="00352244"/>
    <w:rsid w:val="0035260A"/>
    <w:rsid w:val="003558C9"/>
    <w:rsid w:val="00362724"/>
    <w:rsid w:val="00363B73"/>
    <w:rsid w:val="00384A56"/>
    <w:rsid w:val="0038512C"/>
    <w:rsid w:val="00385AD3"/>
    <w:rsid w:val="003875CA"/>
    <w:rsid w:val="0038799D"/>
    <w:rsid w:val="00392C58"/>
    <w:rsid w:val="0039358B"/>
    <w:rsid w:val="003A070C"/>
    <w:rsid w:val="003A1392"/>
    <w:rsid w:val="003B22CA"/>
    <w:rsid w:val="003C364F"/>
    <w:rsid w:val="003D07B0"/>
    <w:rsid w:val="003D6326"/>
    <w:rsid w:val="003D6A6A"/>
    <w:rsid w:val="003E4216"/>
    <w:rsid w:val="003E7741"/>
    <w:rsid w:val="00403502"/>
    <w:rsid w:val="00415F28"/>
    <w:rsid w:val="004255E6"/>
    <w:rsid w:val="00426B82"/>
    <w:rsid w:val="0043206C"/>
    <w:rsid w:val="00432A5F"/>
    <w:rsid w:val="00434A82"/>
    <w:rsid w:val="004351AE"/>
    <w:rsid w:val="00436EB0"/>
    <w:rsid w:val="0044106A"/>
    <w:rsid w:val="0044331C"/>
    <w:rsid w:val="00446B00"/>
    <w:rsid w:val="00453CA4"/>
    <w:rsid w:val="004541BD"/>
    <w:rsid w:val="00456050"/>
    <w:rsid w:val="00461275"/>
    <w:rsid w:val="00462CF7"/>
    <w:rsid w:val="00462FE1"/>
    <w:rsid w:val="0046496E"/>
    <w:rsid w:val="00477178"/>
    <w:rsid w:val="00477946"/>
    <w:rsid w:val="00484EA8"/>
    <w:rsid w:val="00485B2C"/>
    <w:rsid w:val="00487DBA"/>
    <w:rsid w:val="004929D7"/>
    <w:rsid w:val="00493B61"/>
    <w:rsid w:val="00496CBA"/>
    <w:rsid w:val="004A1CEA"/>
    <w:rsid w:val="004C05D4"/>
    <w:rsid w:val="004C148C"/>
    <w:rsid w:val="004C21BC"/>
    <w:rsid w:val="004C58B9"/>
    <w:rsid w:val="004D1DF9"/>
    <w:rsid w:val="004E2DC4"/>
    <w:rsid w:val="004E6576"/>
    <w:rsid w:val="004F21FF"/>
    <w:rsid w:val="004F655E"/>
    <w:rsid w:val="00503288"/>
    <w:rsid w:val="00504EBD"/>
    <w:rsid w:val="005078B0"/>
    <w:rsid w:val="00511627"/>
    <w:rsid w:val="00516D9A"/>
    <w:rsid w:val="005243A1"/>
    <w:rsid w:val="0052750E"/>
    <w:rsid w:val="00533834"/>
    <w:rsid w:val="00536220"/>
    <w:rsid w:val="00537CBB"/>
    <w:rsid w:val="00553530"/>
    <w:rsid w:val="00555D8B"/>
    <w:rsid w:val="00556B9A"/>
    <w:rsid w:val="00565108"/>
    <w:rsid w:val="00565679"/>
    <w:rsid w:val="0056622A"/>
    <w:rsid w:val="00573587"/>
    <w:rsid w:val="00581B80"/>
    <w:rsid w:val="0058200C"/>
    <w:rsid w:val="005863F5"/>
    <w:rsid w:val="00586E5D"/>
    <w:rsid w:val="005917AD"/>
    <w:rsid w:val="00595470"/>
    <w:rsid w:val="00595A25"/>
    <w:rsid w:val="005A05C3"/>
    <w:rsid w:val="005A13F1"/>
    <w:rsid w:val="005A21B9"/>
    <w:rsid w:val="005B3FB3"/>
    <w:rsid w:val="005B6E5F"/>
    <w:rsid w:val="005C0009"/>
    <w:rsid w:val="005C1EA1"/>
    <w:rsid w:val="005C5F58"/>
    <w:rsid w:val="005C73C7"/>
    <w:rsid w:val="005C78CE"/>
    <w:rsid w:val="005D244C"/>
    <w:rsid w:val="005D43BE"/>
    <w:rsid w:val="005E633C"/>
    <w:rsid w:val="005F0CD1"/>
    <w:rsid w:val="005F2AED"/>
    <w:rsid w:val="005F5C90"/>
    <w:rsid w:val="00600777"/>
    <w:rsid w:val="00602377"/>
    <w:rsid w:val="00604296"/>
    <w:rsid w:val="00606717"/>
    <w:rsid w:val="00611AC6"/>
    <w:rsid w:val="00614264"/>
    <w:rsid w:val="00614386"/>
    <w:rsid w:val="006148CD"/>
    <w:rsid w:val="00616CF6"/>
    <w:rsid w:val="00624D55"/>
    <w:rsid w:val="00625FFE"/>
    <w:rsid w:val="00627DB0"/>
    <w:rsid w:val="006315BD"/>
    <w:rsid w:val="00640312"/>
    <w:rsid w:val="00650B1A"/>
    <w:rsid w:val="00653B9C"/>
    <w:rsid w:val="00662649"/>
    <w:rsid w:val="00672869"/>
    <w:rsid w:val="00675F25"/>
    <w:rsid w:val="00677BAB"/>
    <w:rsid w:val="00681B8B"/>
    <w:rsid w:val="00683B16"/>
    <w:rsid w:val="00691106"/>
    <w:rsid w:val="00691FC4"/>
    <w:rsid w:val="006932B1"/>
    <w:rsid w:val="0069437B"/>
    <w:rsid w:val="006958DC"/>
    <w:rsid w:val="006A5704"/>
    <w:rsid w:val="006B0F7B"/>
    <w:rsid w:val="006B1D2F"/>
    <w:rsid w:val="006B3E91"/>
    <w:rsid w:val="006B7F93"/>
    <w:rsid w:val="006D11A2"/>
    <w:rsid w:val="006D19C5"/>
    <w:rsid w:val="006D685A"/>
    <w:rsid w:val="006E088C"/>
    <w:rsid w:val="006E10CF"/>
    <w:rsid w:val="006E7D75"/>
    <w:rsid w:val="007053CB"/>
    <w:rsid w:val="007101F4"/>
    <w:rsid w:val="00720115"/>
    <w:rsid w:val="00721192"/>
    <w:rsid w:val="0072374A"/>
    <w:rsid w:val="00727781"/>
    <w:rsid w:val="00736778"/>
    <w:rsid w:val="007446AC"/>
    <w:rsid w:val="0075347D"/>
    <w:rsid w:val="0075734E"/>
    <w:rsid w:val="0075754F"/>
    <w:rsid w:val="00760B48"/>
    <w:rsid w:val="00766041"/>
    <w:rsid w:val="00766D37"/>
    <w:rsid w:val="007743A0"/>
    <w:rsid w:val="007807D7"/>
    <w:rsid w:val="00781F37"/>
    <w:rsid w:val="00791BCA"/>
    <w:rsid w:val="00794FBA"/>
    <w:rsid w:val="0079742A"/>
    <w:rsid w:val="007A64EF"/>
    <w:rsid w:val="007B489E"/>
    <w:rsid w:val="007B4EC7"/>
    <w:rsid w:val="007B55A5"/>
    <w:rsid w:val="007B725C"/>
    <w:rsid w:val="007D425A"/>
    <w:rsid w:val="007D6FFA"/>
    <w:rsid w:val="007E11B3"/>
    <w:rsid w:val="007E16FF"/>
    <w:rsid w:val="007E3DFF"/>
    <w:rsid w:val="007E4CE7"/>
    <w:rsid w:val="007E6782"/>
    <w:rsid w:val="007E7C98"/>
    <w:rsid w:val="00800245"/>
    <w:rsid w:val="00801411"/>
    <w:rsid w:val="00802D21"/>
    <w:rsid w:val="0080469E"/>
    <w:rsid w:val="008063CF"/>
    <w:rsid w:val="00815446"/>
    <w:rsid w:val="0081582C"/>
    <w:rsid w:val="0081778B"/>
    <w:rsid w:val="00823DD4"/>
    <w:rsid w:val="00827183"/>
    <w:rsid w:val="00827279"/>
    <w:rsid w:val="00831CAC"/>
    <w:rsid w:val="0083226A"/>
    <w:rsid w:val="00834C53"/>
    <w:rsid w:val="008358D0"/>
    <w:rsid w:val="00845F00"/>
    <w:rsid w:val="00846682"/>
    <w:rsid w:val="00852AA5"/>
    <w:rsid w:val="00860712"/>
    <w:rsid w:val="0086071C"/>
    <w:rsid w:val="0086163A"/>
    <w:rsid w:val="00876454"/>
    <w:rsid w:val="00880E4D"/>
    <w:rsid w:val="00881A1F"/>
    <w:rsid w:val="00897F72"/>
    <w:rsid w:val="008A1F3C"/>
    <w:rsid w:val="008A4F31"/>
    <w:rsid w:val="008B43BE"/>
    <w:rsid w:val="008B7271"/>
    <w:rsid w:val="008C085D"/>
    <w:rsid w:val="008C2CDD"/>
    <w:rsid w:val="008F0642"/>
    <w:rsid w:val="009008F2"/>
    <w:rsid w:val="00900D65"/>
    <w:rsid w:val="0090312D"/>
    <w:rsid w:val="00905CCC"/>
    <w:rsid w:val="00917F37"/>
    <w:rsid w:val="00921A05"/>
    <w:rsid w:val="0092216D"/>
    <w:rsid w:val="009356C5"/>
    <w:rsid w:val="00936C8C"/>
    <w:rsid w:val="00937CBB"/>
    <w:rsid w:val="009416BE"/>
    <w:rsid w:val="0094266B"/>
    <w:rsid w:val="0094480A"/>
    <w:rsid w:val="009455C5"/>
    <w:rsid w:val="00952218"/>
    <w:rsid w:val="00952467"/>
    <w:rsid w:val="00952FA0"/>
    <w:rsid w:val="00953DC8"/>
    <w:rsid w:val="00955C5A"/>
    <w:rsid w:val="00963DEE"/>
    <w:rsid w:val="00967913"/>
    <w:rsid w:val="009746F5"/>
    <w:rsid w:val="009756BE"/>
    <w:rsid w:val="00980551"/>
    <w:rsid w:val="00981B66"/>
    <w:rsid w:val="0098236A"/>
    <w:rsid w:val="00983F9D"/>
    <w:rsid w:val="009846B4"/>
    <w:rsid w:val="00984757"/>
    <w:rsid w:val="0098516F"/>
    <w:rsid w:val="00990AFC"/>
    <w:rsid w:val="00993501"/>
    <w:rsid w:val="009A4BE8"/>
    <w:rsid w:val="009B1F74"/>
    <w:rsid w:val="009B656C"/>
    <w:rsid w:val="009B695D"/>
    <w:rsid w:val="009C0763"/>
    <w:rsid w:val="009C0AF2"/>
    <w:rsid w:val="009C1523"/>
    <w:rsid w:val="009C1E88"/>
    <w:rsid w:val="009C33CA"/>
    <w:rsid w:val="009D301F"/>
    <w:rsid w:val="009E3825"/>
    <w:rsid w:val="009E4623"/>
    <w:rsid w:val="009E46C6"/>
    <w:rsid w:val="009E64F4"/>
    <w:rsid w:val="009E7270"/>
    <w:rsid w:val="009F0072"/>
    <w:rsid w:val="009F24AC"/>
    <w:rsid w:val="009F2ACC"/>
    <w:rsid w:val="009F2C89"/>
    <w:rsid w:val="009F47A1"/>
    <w:rsid w:val="009F61F6"/>
    <w:rsid w:val="00A002D4"/>
    <w:rsid w:val="00A027D4"/>
    <w:rsid w:val="00A02FFF"/>
    <w:rsid w:val="00A1580C"/>
    <w:rsid w:val="00A17F2A"/>
    <w:rsid w:val="00A21B5B"/>
    <w:rsid w:val="00A22FBA"/>
    <w:rsid w:val="00A2556C"/>
    <w:rsid w:val="00A32D45"/>
    <w:rsid w:val="00A33B85"/>
    <w:rsid w:val="00A35D91"/>
    <w:rsid w:val="00A37517"/>
    <w:rsid w:val="00A40379"/>
    <w:rsid w:val="00A43DD2"/>
    <w:rsid w:val="00A45FC9"/>
    <w:rsid w:val="00A4649E"/>
    <w:rsid w:val="00A572C5"/>
    <w:rsid w:val="00A57BCE"/>
    <w:rsid w:val="00A6647B"/>
    <w:rsid w:val="00A70BCC"/>
    <w:rsid w:val="00A71206"/>
    <w:rsid w:val="00A8084E"/>
    <w:rsid w:val="00A82C73"/>
    <w:rsid w:val="00A83CCA"/>
    <w:rsid w:val="00A851AE"/>
    <w:rsid w:val="00A91068"/>
    <w:rsid w:val="00A914DC"/>
    <w:rsid w:val="00A94EDB"/>
    <w:rsid w:val="00A9695F"/>
    <w:rsid w:val="00A978D5"/>
    <w:rsid w:val="00AA60F6"/>
    <w:rsid w:val="00AB023D"/>
    <w:rsid w:val="00AB1316"/>
    <w:rsid w:val="00AB2638"/>
    <w:rsid w:val="00AB2A08"/>
    <w:rsid w:val="00AC1D83"/>
    <w:rsid w:val="00AC4AED"/>
    <w:rsid w:val="00AC5F7E"/>
    <w:rsid w:val="00AD042A"/>
    <w:rsid w:val="00AD4542"/>
    <w:rsid w:val="00AD63E8"/>
    <w:rsid w:val="00AE3DE7"/>
    <w:rsid w:val="00AF0561"/>
    <w:rsid w:val="00AF0BEB"/>
    <w:rsid w:val="00AF316C"/>
    <w:rsid w:val="00B06294"/>
    <w:rsid w:val="00B105A6"/>
    <w:rsid w:val="00B138D7"/>
    <w:rsid w:val="00B149E8"/>
    <w:rsid w:val="00B162EE"/>
    <w:rsid w:val="00B171A7"/>
    <w:rsid w:val="00B17998"/>
    <w:rsid w:val="00B2025C"/>
    <w:rsid w:val="00B206E9"/>
    <w:rsid w:val="00B2517D"/>
    <w:rsid w:val="00B25892"/>
    <w:rsid w:val="00B26060"/>
    <w:rsid w:val="00B32CB3"/>
    <w:rsid w:val="00B41EC5"/>
    <w:rsid w:val="00B4697B"/>
    <w:rsid w:val="00B545E8"/>
    <w:rsid w:val="00B54A36"/>
    <w:rsid w:val="00B60316"/>
    <w:rsid w:val="00B61D33"/>
    <w:rsid w:val="00B64065"/>
    <w:rsid w:val="00B6467A"/>
    <w:rsid w:val="00B70F93"/>
    <w:rsid w:val="00B717AE"/>
    <w:rsid w:val="00B76541"/>
    <w:rsid w:val="00B76726"/>
    <w:rsid w:val="00B76B0B"/>
    <w:rsid w:val="00B855AC"/>
    <w:rsid w:val="00B872A6"/>
    <w:rsid w:val="00B93AA1"/>
    <w:rsid w:val="00B96329"/>
    <w:rsid w:val="00B97FC0"/>
    <w:rsid w:val="00BA3F9D"/>
    <w:rsid w:val="00BA456C"/>
    <w:rsid w:val="00BA4A64"/>
    <w:rsid w:val="00BA4AD5"/>
    <w:rsid w:val="00BB01DC"/>
    <w:rsid w:val="00BB2790"/>
    <w:rsid w:val="00BB3179"/>
    <w:rsid w:val="00BB741E"/>
    <w:rsid w:val="00BC382C"/>
    <w:rsid w:val="00BD042A"/>
    <w:rsid w:val="00BD44DB"/>
    <w:rsid w:val="00BD63E5"/>
    <w:rsid w:val="00BE0962"/>
    <w:rsid w:val="00BE10EE"/>
    <w:rsid w:val="00BE2CFD"/>
    <w:rsid w:val="00BE56DC"/>
    <w:rsid w:val="00BF1CA5"/>
    <w:rsid w:val="00BF7E82"/>
    <w:rsid w:val="00C03A82"/>
    <w:rsid w:val="00C066F5"/>
    <w:rsid w:val="00C07167"/>
    <w:rsid w:val="00C07A5C"/>
    <w:rsid w:val="00C21EFB"/>
    <w:rsid w:val="00C27919"/>
    <w:rsid w:val="00C27CE3"/>
    <w:rsid w:val="00C405B3"/>
    <w:rsid w:val="00C4214F"/>
    <w:rsid w:val="00C46141"/>
    <w:rsid w:val="00C515E0"/>
    <w:rsid w:val="00C54034"/>
    <w:rsid w:val="00C54153"/>
    <w:rsid w:val="00C56337"/>
    <w:rsid w:val="00C64EE8"/>
    <w:rsid w:val="00C74BED"/>
    <w:rsid w:val="00C77C46"/>
    <w:rsid w:val="00C83A24"/>
    <w:rsid w:val="00C92C59"/>
    <w:rsid w:val="00CA672C"/>
    <w:rsid w:val="00CA7BDC"/>
    <w:rsid w:val="00CB025F"/>
    <w:rsid w:val="00CB0379"/>
    <w:rsid w:val="00CB4713"/>
    <w:rsid w:val="00CC0110"/>
    <w:rsid w:val="00CC18E3"/>
    <w:rsid w:val="00CC2EF7"/>
    <w:rsid w:val="00CC75A1"/>
    <w:rsid w:val="00CD6BA6"/>
    <w:rsid w:val="00CE3706"/>
    <w:rsid w:val="00CF4E19"/>
    <w:rsid w:val="00CF617A"/>
    <w:rsid w:val="00D04544"/>
    <w:rsid w:val="00D0686C"/>
    <w:rsid w:val="00D1203B"/>
    <w:rsid w:val="00D14685"/>
    <w:rsid w:val="00D14F40"/>
    <w:rsid w:val="00D150E2"/>
    <w:rsid w:val="00D15FF3"/>
    <w:rsid w:val="00D24E80"/>
    <w:rsid w:val="00D26BC6"/>
    <w:rsid w:val="00D35AA0"/>
    <w:rsid w:val="00D36573"/>
    <w:rsid w:val="00D44C2C"/>
    <w:rsid w:val="00D460C2"/>
    <w:rsid w:val="00D569DE"/>
    <w:rsid w:val="00D56F82"/>
    <w:rsid w:val="00D60181"/>
    <w:rsid w:val="00D6271F"/>
    <w:rsid w:val="00D62877"/>
    <w:rsid w:val="00D73D66"/>
    <w:rsid w:val="00D74274"/>
    <w:rsid w:val="00D756BB"/>
    <w:rsid w:val="00D81218"/>
    <w:rsid w:val="00D87059"/>
    <w:rsid w:val="00D876FF"/>
    <w:rsid w:val="00D90AB4"/>
    <w:rsid w:val="00DA2186"/>
    <w:rsid w:val="00DA27F7"/>
    <w:rsid w:val="00DA6130"/>
    <w:rsid w:val="00DB085F"/>
    <w:rsid w:val="00DB1101"/>
    <w:rsid w:val="00DB297D"/>
    <w:rsid w:val="00DB3B64"/>
    <w:rsid w:val="00DB4A50"/>
    <w:rsid w:val="00DB7315"/>
    <w:rsid w:val="00DE5BD3"/>
    <w:rsid w:val="00DE7F43"/>
    <w:rsid w:val="00DF02AA"/>
    <w:rsid w:val="00DF7148"/>
    <w:rsid w:val="00E1002A"/>
    <w:rsid w:val="00E20EC5"/>
    <w:rsid w:val="00E32C16"/>
    <w:rsid w:val="00E405B2"/>
    <w:rsid w:val="00E40BBE"/>
    <w:rsid w:val="00E479EA"/>
    <w:rsid w:val="00E53001"/>
    <w:rsid w:val="00E5637F"/>
    <w:rsid w:val="00E634ED"/>
    <w:rsid w:val="00E77BC5"/>
    <w:rsid w:val="00E80337"/>
    <w:rsid w:val="00E879E8"/>
    <w:rsid w:val="00E93FA5"/>
    <w:rsid w:val="00EA0487"/>
    <w:rsid w:val="00EA6C1D"/>
    <w:rsid w:val="00EB01F9"/>
    <w:rsid w:val="00EB0F58"/>
    <w:rsid w:val="00EB10BD"/>
    <w:rsid w:val="00EB1EB4"/>
    <w:rsid w:val="00EB1EF9"/>
    <w:rsid w:val="00ED1121"/>
    <w:rsid w:val="00ED6212"/>
    <w:rsid w:val="00ED7A9C"/>
    <w:rsid w:val="00EE1E48"/>
    <w:rsid w:val="00EF4E42"/>
    <w:rsid w:val="00F07465"/>
    <w:rsid w:val="00F1262E"/>
    <w:rsid w:val="00F141E3"/>
    <w:rsid w:val="00F15679"/>
    <w:rsid w:val="00F1747E"/>
    <w:rsid w:val="00F208CB"/>
    <w:rsid w:val="00F20F89"/>
    <w:rsid w:val="00F279B8"/>
    <w:rsid w:val="00F30FF5"/>
    <w:rsid w:val="00F3727E"/>
    <w:rsid w:val="00F37D85"/>
    <w:rsid w:val="00F37FEE"/>
    <w:rsid w:val="00F409C0"/>
    <w:rsid w:val="00F40FD8"/>
    <w:rsid w:val="00F44762"/>
    <w:rsid w:val="00F52CA7"/>
    <w:rsid w:val="00F6025D"/>
    <w:rsid w:val="00F657D1"/>
    <w:rsid w:val="00F714D7"/>
    <w:rsid w:val="00F76D6A"/>
    <w:rsid w:val="00F853B8"/>
    <w:rsid w:val="00F86094"/>
    <w:rsid w:val="00F90A3A"/>
    <w:rsid w:val="00F96F45"/>
    <w:rsid w:val="00F97B03"/>
    <w:rsid w:val="00FA6F47"/>
    <w:rsid w:val="00FB439C"/>
    <w:rsid w:val="00FC5266"/>
    <w:rsid w:val="00FC778C"/>
    <w:rsid w:val="00FD1A16"/>
    <w:rsid w:val="00FD1A49"/>
    <w:rsid w:val="00FD2A2F"/>
    <w:rsid w:val="00FD3038"/>
    <w:rsid w:val="00FF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2B744F"/>
  <w15:docId w15:val="{C277F8A4-885E-424A-87F1-9D859CA6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6A"/>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5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7101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
    <w:name w:val="Body"/>
    <w:basedOn w:val="Normal"/>
    <w:qFormat/>
    <w:rsid w:val="00760B48"/>
    <w:pPr>
      <w:spacing w:before="120" w:after="120" w:line="240" w:lineRule="auto"/>
    </w:pPr>
    <w:rPr>
      <w:rFonts w:ascii="Franklin Gothic Book" w:eastAsiaTheme="minorEastAsia" w:hAnsi="Franklin Gothic Book" w:cs="Times New Roman"/>
      <w:sz w:val="24"/>
      <w:szCs w:val="24"/>
    </w:rPr>
  </w:style>
  <w:style w:type="paragraph" w:styleId="NormalWeb">
    <w:name w:val="Normal (Web)"/>
    <w:basedOn w:val="Normal"/>
    <w:uiPriority w:val="99"/>
    <w:unhideWhenUsed/>
    <w:rsid w:val="00E5637F"/>
    <w:pPr>
      <w:spacing w:before="100" w:beforeAutospacing="1" w:after="100" w:afterAutospacing="1" w:line="240" w:lineRule="auto"/>
    </w:pPr>
    <w:rPr>
      <w:rFonts w:ascii="Times" w:eastAsiaTheme="minorEastAsia" w:hAnsi="Times" w:cs="Times New Roman"/>
      <w:sz w:val="20"/>
      <w:szCs w:val="20"/>
    </w:rPr>
  </w:style>
  <w:style w:type="character" w:customStyle="1" w:styleId="cbformdata7357c7e61e5595">
    <w:name w:val="cbformdata_7357c7e61e5595"/>
    <w:basedOn w:val="DefaultParagraphFont"/>
    <w:rsid w:val="00E5637F"/>
  </w:style>
  <w:style w:type="character" w:styleId="Strong">
    <w:name w:val="Strong"/>
    <w:basedOn w:val="DefaultParagraphFont"/>
    <w:uiPriority w:val="22"/>
    <w:qFormat/>
    <w:rsid w:val="00E5637F"/>
    <w:rPr>
      <w:b/>
      <w:bCs/>
    </w:rPr>
  </w:style>
  <w:style w:type="character" w:customStyle="1" w:styleId="cbformdatac46a8ea29552eb">
    <w:name w:val="cbformdata_c46a8ea29552eb"/>
    <w:basedOn w:val="DefaultParagraphFont"/>
    <w:rsid w:val="00E5637F"/>
  </w:style>
  <w:style w:type="character" w:customStyle="1" w:styleId="cbformdata67779de07f1460">
    <w:name w:val="cbformdata_67779de07f1460"/>
    <w:basedOn w:val="DefaultParagraphFont"/>
    <w:rsid w:val="00E5637F"/>
  </w:style>
  <w:style w:type="character" w:customStyle="1" w:styleId="cbformdata514cb6781ad6ab">
    <w:name w:val="cbformdata_514cb6781ad6ab"/>
    <w:basedOn w:val="DefaultParagraphFont"/>
    <w:rsid w:val="00E5637F"/>
  </w:style>
  <w:style w:type="character" w:customStyle="1" w:styleId="cbformdata30e04a1676da57">
    <w:name w:val="cbformdata_30e04a1676da57"/>
    <w:basedOn w:val="DefaultParagraphFont"/>
    <w:rsid w:val="00E5637F"/>
  </w:style>
  <w:style w:type="character" w:customStyle="1" w:styleId="cbformdata6d4f52444b7713">
    <w:name w:val="cbformdata_6d4f52444b7713"/>
    <w:basedOn w:val="DefaultParagraphFont"/>
    <w:rsid w:val="00E5637F"/>
  </w:style>
  <w:style w:type="character" w:customStyle="1" w:styleId="cbformdata164b615c12cc6b">
    <w:name w:val="cbformdata_164b615c12cc6b"/>
    <w:basedOn w:val="DefaultParagraphFont"/>
    <w:rsid w:val="00E5637F"/>
  </w:style>
  <w:style w:type="character" w:customStyle="1" w:styleId="cbformdata3f3955424bda4e">
    <w:name w:val="cbformdata_3f3955424bda4e"/>
    <w:basedOn w:val="DefaultParagraphFont"/>
    <w:rsid w:val="00E5637F"/>
  </w:style>
  <w:style w:type="character" w:customStyle="1" w:styleId="cbformdata6f9c4d777f6094">
    <w:name w:val="cbformdata_6f9c4d777f6094"/>
    <w:basedOn w:val="DefaultParagraphFont"/>
    <w:rsid w:val="00E5637F"/>
  </w:style>
  <w:style w:type="character" w:customStyle="1" w:styleId="cbformdata516b34192644df">
    <w:name w:val="cbformdata_516b34192644df"/>
    <w:basedOn w:val="DefaultParagraphFont"/>
    <w:rsid w:val="00E5637F"/>
  </w:style>
  <w:style w:type="character" w:customStyle="1" w:styleId="cbformdata5191b4223f9c6f">
    <w:name w:val="cbformdata_5191b4223f9c6f"/>
    <w:basedOn w:val="DefaultParagraphFont"/>
    <w:rsid w:val="00E5637F"/>
  </w:style>
  <w:style w:type="paragraph" w:styleId="BodyTextIndent3">
    <w:name w:val="Body Text Indent 3"/>
    <w:basedOn w:val="Normal"/>
    <w:link w:val="BodyTextIndent3Char"/>
    <w:uiPriority w:val="99"/>
    <w:semiHidden/>
    <w:unhideWhenUsed/>
    <w:rsid w:val="009B1F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1F74"/>
    <w:rPr>
      <w:sz w:val="16"/>
      <w:szCs w:val="16"/>
    </w:rPr>
  </w:style>
  <w:style w:type="paragraph" w:styleId="Revision">
    <w:name w:val="Revision"/>
    <w:hidden/>
    <w:uiPriority w:val="99"/>
    <w:semiHidden/>
    <w:rsid w:val="009B1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195F-5430-41E6-81AD-37FE080B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Animation Game Art Workforce CIP</vt:lpstr>
    </vt:vector>
  </TitlesOfParts>
  <Company>Collin College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Game Art Workforce CIP</dc:title>
  <dc:creator>Institutional Effectiveness</dc:creator>
  <cp:lastModifiedBy>David Liska</cp:lastModifiedBy>
  <cp:revision>3</cp:revision>
  <cp:lastPrinted>2017-08-15T20:37:00Z</cp:lastPrinted>
  <dcterms:created xsi:type="dcterms:W3CDTF">2018-11-12T18:32:00Z</dcterms:created>
  <dcterms:modified xsi:type="dcterms:W3CDTF">2018-11-12T18:42:00Z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