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</w:t>
      </w:r>
      <w:r w:rsidR="00C06888">
        <w:rPr>
          <w:rFonts w:ascii="Arial" w:hAnsi="Arial" w:cs="Arial"/>
        </w:rPr>
        <w:t>9/1</w:t>
      </w:r>
      <w:r w:rsidR="00BF4007">
        <w:rPr>
          <w:rFonts w:ascii="Arial" w:hAnsi="Arial" w:cs="Arial"/>
        </w:rPr>
        <w:t>3</w:t>
      </w:r>
      <w:r w:rsidR="00C06888">
        <w:rPr>
          <w:rFonts w:ascii="Arial" w:hAnsi="Arial" w:cs="Arial"/>
        </w:rPr>
        <w:t>/19</w:t>
      </w:r>
      <w:r w:rsidR="00C10B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C06888">
        <w:rPr>
          <w:rFonts w:ascii="Arial" w:hAnsi="Arial" w:cs="Arial"/>
          <w:b/>
        </w:rPr>
        <w:t>Admissions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</w:t>
      </w:r>
      <w:r w:rsidR="00C06888">
        <w:rPr>
          <w:rFonts w:ascii="Arial" w:hAnsi="Arial" w:cs="Arial"/>
        </w:rPr>
        <w:t>Todd Fields</w:t>
      </w:r>
      <w:r w:rsidR="00C10B61">
        <w:rPr>
          <w:rFonts w:ascii="Arial" w:hAnsi="Arial" w:cs="Arial"/>
        </w:rPr>
        <w:t xml:space="preserve">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</w:t>
      </w:r>
      <w:r w:rsidR="00C06888">
        <w:rPr>
          <w:rFonts w:ascii="Arial" w:hAnsi="Arial" w:cs="Arial"/>
        </w:rPr>
        <w:t>tfields@collin.edu</w:t>
      </w:r>
      <w:r w:rsidR="00D87631"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     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905557">
        <w:rPr>
          <w:rFonts w:ascii="Arial" w:hAnsi="Arial" w:cs="Arial"/>
        </w:rPr>
        <w:t>972.881.5174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387EB1" w:rsidRPr="00210107" w:rsidTr="00387EB1">
        <w:trPr>
          <w:trHeight w:hRule="exact" w:val="1698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Increase efficiency, effectiveness and customer satisfaction by implementing a district year-round phone bank (collaboration with Advising and Financial Aid)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 xml:space="preserve">Baseline data include call volume and costs.  New tracking will be compared to baseline.  </w:t>
            </w:r>
          </w:p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Customer service surveys.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Reductions in cost for temporary workers</w:t>
            </w:r>
          </w:p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Reduction in full time staff being pulled away from other duties to supervise phone bank</w:t>
            </w:r>
          </w:p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Customer satisfaction with ARO increase by 10%</w:t>
            </w:r>
          </w:p>
        </w:tc>
      </w:tr>
      <w:tr w:rsidR="00387EB1" w:rsidRPr="00210107" w:rsidTr="00387EB1">
        <w:trPr>
          <w:trHeight w:hRule="exact" w:val="94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Increase efficiency, effectiveness and customer satisfaction by developing and utilizing an in-house application process.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Track out-of-state coded residency notification emails and compare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Reduce the number of residency emails by 25%</w:t>
            </w:r>
          </w:p>
        </w:tc>
      </w:tr>
      <w:tr w:rsidR="00387EB1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Increase efficiency, effectiveness and customer satisfaction by implementing College Source Degree Audit System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Track system reports and customer service surveys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387EB1" w:rsidRPr="00387EB1" w:rsidRDefault="00387EB1" w:rsidP="00387EB1">
            <w:pPr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Increase customer satisfaction related to degree audit and schedule building by 25%</w:t>
            </w:r>
          </w:p>
        </w:tc>
      </w:tr>
    </w:tbl>
    <w:p w:rsidR="00F25D44" w:rsidRDefault="00F25D44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from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F25D44" w:rsidRDefault="00F25D44" w:rsidP="00F9197F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210107">
        <w:rPr>
          <w:rFonts w:ascii="Arial" w:hAnsi="Arial" w:cs="Arial"/>
          <w:w w:val="99"/>
          <w:sz w:val="20"/>
          <w:szCs w:val="20"/>
        </w:rPr>
        <w:t xml:space="preserve"> </w:t>
      </w:r>
      <w:r w:rsidRPr="00210107">
        <w:rPr>
          <w:rFonts w:ascii="Arial" w:hAnsi="Arial" w:cs="Arial"/>
          <w:w w:val="99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210107">
        <w:rPr>
          <w:rFonts w:ascii="Arial" w:hAnsi="Arial" w:cs="Arial"/>
          <w:w w:val="99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387EB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Increase efficiency, effectiveness and customer satisfaction by implementing a district year-round phone bank (collaboration with Advising and Financial Aid)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87EB1" w:rsidRPr="00387EB1" w:rsidRDefault="00387EB1" w:rsidP="00387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 xml:space="preserve">Baseline data include call volume and costs.  New tracking will be compared to baseline.  </w:t>
            </w:r>
          </w:p>
          <w:p w:rsidR="00F9197F" w:rsidRPr="00210107" w:rsidRDefault="00387EB1" w:rsidP="00387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Customer service surveys.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387EB1" w:rsidRPr="00387EB1" w:rsidRDefault="00387EB1" w:rsidP="00387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Reductions in cost for temporary workers</w:t>
            </w:r>
          </w:p>
          <w:p w:rsidR="00387EB1" w:rsidRPr="00387EB1" w:rsidRDefault="00387EB1" w:rsidP="00387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Reduction in full time staff being pulled away from other duties to supervise phone bank</w:t>
            </w:r>
          </w:p>
          <w:p w:rsidR="00F9197F" w:rsidRPr="00387EB1" w:rsidRDefault="00387EB1" w:rsidP="00387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7EB1">
              <w:rPr>
                <w:rFonts w:ascii="Arial" w:hAnsi="Arial" w:cs="Arial"/>
                <w:sz w:val="20"/>
                <w:szCs w:val="20"/>
              </w:rPr>
              <w:t>Customer satisfaction with ARO increase by 10%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D47B9A">
        <w:trPr>
          <w:trHeight w:val="924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387EB1" w:rsidRDefault="00746F2D" w:rsidP="00387E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7B9A" w:rsidRPr="00D47B9A">
              <w:rPr>
                <w:rFonts w:ascii="Arial" w:hAnsi="Arial" w:cs="Arial"/>
                <w:sz w:val="20"/>
                <w:szCs w:val="20"/>
              </w:rPr>
              <w:t>A formal request was submitted for review</w:t>
            </w:r>
            <w:r w:rsidR="00D47B9A">
              <w:rPr>
                <w:rFonts w:ascii="Arial" w:hAnsi="Arial" w:cs="Arial"/>
                <w:sz w:val="20"/>
                <w:szCs w:val="20"/>
              </w:rPr>
              <w:t xml:space="preserve"> which included call volume and anticipated budget.</w:t>
            </w:r>
          </w:p>
          <w:p w:rsidR="00387EB1" w:rsidRPr="00210107" w:rsidRDefault="00387EB1" w:rsidP="00387E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267" w:rsidRPr="00210107" w:rsidRDefault="004C7267" w:rsidP="00387E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D47B9A" w:rsidP="006652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the restructuring of Student and Enrollment Services, the implementation of the year-round phone bank for Admissions has been postponed.  In an effort to enhance information for students and the communi</w:t>
            </w:r>
            <w:r w:rsidR="00665205">
              <w:rPr>
                <w:rFonts w:ascii="Arial" w:hAnsi="Arial" w:cs="Arial"/>
                <w:sz w:val="20"/>
                <w:szCs w:val="20"/>
              </w:rPr>
              <w:t>ty, the Admissions website was redesigned.  Content was consolidated and decision paths were built based on student type.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D47B9A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available at this time.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665205" w:rsidRPr="00665205" w:rsidRDefault="00665205" w:rsidP="00665205">
            <w:pPr>
              <w:pStyle w:val="NoSpacing"/>
              <w:ind w:left="-10"/>
              <w:rPr>
                <w:rFonts w:ascii="Arial" w:hAnsi="Arial" w:cs="Arial"/>
                <w:sz w:val="20"/>
                <w:szCs w:val="20"/>
              </w:rPr>
            </w:pPr>
            <w:r w:rsidRPr="00665205">
              <w:rPr>
                <w:rFonts w:ascii="Arial" w:hAnsi="Arial" w:cs="Arial"/>
                <w:sz w:val="20"/>
                <w:szCs w:val="20"/>
              </w:rPr>
              <w:t>The proposal for the phone bank will be resubmitted next fiscal year.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66520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5205">
              <w:rPr>
                <w:rFonts w:ascii="Arial" w:hAnsi="Arial" w:cs="Arial"/>
                <w:sz w:val="20"/>
                <w:szCs w:val="20"/>
              </w:rPr>
              <w:t>Increase efficiency, effectiveness and customer satisfaction by developing and utilizing an in-house application process.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66520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5205">
              <w:rPr>
                <w:rFonts w:ascii="Arial" w:hAnsi="Arial" w:cs="Arial"/>
                <w:sz w:val="20"/>
                <w:szCs w:val="20"/>
              </w:rPr>
              <w:t>Track out-of-state coded residency notification emails and compare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BF4007" w:rsidRDefault="0066520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4007">
              <w:rPr>
                <w:rFonts w:ascii="Arial" w:hAnsi="Arial" w:cs="Arial"/>
                <w:sz w:val="20"/>
                <w:szCs w:val="20"/>
              </w:rPr>
              <w:t>Reduce the number of residency emails by 25%</w:t>
            </w:r>
          </w:p>
          <w:p w:rsidR="00665205" w:rsidRPr="00210107" w:rsidRDefault="0066520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65205" w:rsidRPr="00A8610D" w:rsidRDefault="00665205" w:rsidP="006652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610D">
              <w:rPr>
                <w:rFonts w:ascii="Arial" w:hAnsi="Arial" w:cs="Arial"/>
                <w:sz w:val="20"/>
                <w:szCs w:val="20"/>
              </w:rPr>
              <w:t>Work with the IT department to identify software solutions and develop an in-house admissions application that will have built in residency logic.  The data collected will</w:t>
            </w:r>
            <w:r w:rsidR="00A8610D" w:rsidRPr="00A8610D">
              <w:rPr>
                <w:rFonts w:ascii="Arial" w:hAnsi="Arial" w:cs="Arial"/>
                <w:sz w:val="20"/>
                <w:szCs w:val="20"/>
              </w:rPr>
              <w:t xml:space="preserve"> be loaded directly in to the student information system. A student’s residency status will be calculated based upon their responses in the application.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#2)</w:t>
            </w:r>
          </w:p>
          <w:p w:rsidR="00BE7B86" w:rsidRPr="00210107" w:rsidRDefault="00323375" w:rsidP="003C73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Measuring the effectiveness of the in-house application related to residency should not have </w:t>
            </w:r>
            <w:r w:rsidR="009D2EF1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>
              <w:rPr>
                <w:rFonts w:ascii="Arial" w:hAnsi="Arial" w:cs="Arial"/>
                <w:sz w:val="20"/>
                <w:szCs w:val="20"/>
              </w:rPr>
              <w:t>established related to the quantity of emails.  Therefore, the number of out-of-state residence students was calculated in Spring 2016 (prior to the full launch of the new application) compared to Spring 2017 (after launching the application).  The results show a significant reduction in the number of ou</w:t>
            </w:r>
            <w:r w:rsidR="003C7354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-of-state students.</w:t>
            </w:r>
          </w:p>
        </w:tc>
      </w:tr>
      <w:tr w:rsidR="00C76636" w:rsidRPr="00210107" w:rsidTr="00323375">
        <w:trPr>
          <w:trHeight w:val="388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323375" w:rsidRDefault="00323375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the admissions applications processed, the following percentages of out-of-state students were calculated</w:t>
            </w:r>
          </w:p>
          <w:p w:rsidR="00323375" w:rsidRDefault="00323375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3323"/>
              <w:gridCol w:w="3323"/>
              <w:gridCol w:w="3323"/>
            </w:tblGrid>
            <w:tr w:rsidR="00323375" w:rsidTr="00323375"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C766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C766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Applications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C766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Out-of-state applications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C766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Percentage</w:t>
                  </w:r>
                </w:p>
              </w:tc>
            </w:tr>
            <w:tr w:rsidR="00323375" w:rsidTr="00323375"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Spring 2016 </w:t>
                  </w:r>
                </w:p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9,691</w:t>
                  </w: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3,743</w:t>
                  </w: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38.6%</w:t>
                  </w:r>
                </w:p>
              </w:tc>
            </w:tr>
            <w:tr w:rsidR="00323375" w:rsidTr="00323375"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2017</w:t>
                  </w: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9,392</w:t>
                  </w: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2,374</w:t>
                  </w:r>
                </w:p>
              </w:tc>
              <w:tc>
                <w:tcPr>
                  <w:tcW w:w="3323" w:type="dxa"/>
                </w:tcPr>
                <w:p w:rsidR="00323375" w:rsidRDefault="00323375" w:rsidP="00C766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25.2%</w:t>
                  </w:r>
                </w:p>
              </w:tc>
            </w:tr>
          </w:tbl>
          <w:p w:rsidR="00323375" w:rsidRDefault="00323375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3375" w:rsidRDefault="00323375" w:rsidP="003233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was also compared to the district-wide headcount statistics to check for variance in student status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3323"/>
              <w:gridCol w:w="3323"/>
              <w:gridCol w:w="3323"/>
            </w:tblGrid>
            <w:tr w:rsidR="00323375" w:rsidTr="00243396"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32337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32337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 District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32337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33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Out-of-state applications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323375" w:rsidRPr="00323375" w:rsidRDefault="00323375" w:rsidP="0032337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23375" w:rsidTr="00243396"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Spring 2016 </w:t>
                  </w:r>
                </w:p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18,233  (69%)</w:t>
                  </w: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931 (4%)</w:t>
                  </w: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3375" w:rsidTr="00243396"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2017</w:t>
                  </w: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19,103  (69%)</w:t>
                  </w: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1,030 (4%)</w:t>
                  </w:r>
                </w:p>
              </w:tc>
              <w:tc>
                <w:tcPr>
                  <w:tcW w:w="3323" w:type="dxa"/>
                </w:tcPr>
                <w:p w:rsidR="00323375" w:rsidRDefault="00323375" w:rsidP="0032337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23375" w:rsidRDefault="00323375" w:rsidP="003233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3375" w:rsidRDefault="00323375" w:rsidP="003233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no change in the student demographic of in-district compared to out-of-district.</w:t>
            </w:r>
          </w:p>
          <w:p w:rsidR="00323375" w:rsidRDefault="00323375" w:rsidP="003233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3375" w:rsidRPr="00210107" w:rsidRDefault="00323375" w:rsidP="003233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in-house admissions application helped to accurately </w:t>
            </w:r>
            <w:r w:rsidR="00A8178E">
              <w:rPr>
                <w:rFonts w:ascii="Arial" w:hAnsi="Arial" w:cs="Arial"/>
                <w:sz w:val="20"/>
                <w:szCs w:val="20"/>
              </w:rPr>
              <w:t>classify students upon admission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A8610D" w:rsidRPr="00A8178E" w:rsidRDefault="00A8178E" w:rsidP="00A86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178E">
              <w:rPr>
                <w:rFonts w:ascii="Arial" w:hAnsi="Arial" w:cs="Arial"/>
                <w:sz w:val="20"/>
                <w:szCs w:val="20"/>
              </w:rPr>
              <w:t>With the new in-house application, students are better served through greater accuracy of tuition calculation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3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3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43" w:rsidRPr="00173023" w:rsidRDefault="00004A0D" w:rsidP="00173023">
    <w:pPr>
      <w:pStyle w:val="Header"/>
      <w:jc w:val="right"/>
      <w:rPr>
        <w:i/>
      </w:rPr>
    </w:pPr>
    <w:r>
      <w:rPr>
        <w:i/>
      </w:rPr>
      <w:t>Rev. 11/18</w:t>
    </w:r>
    <w:r w:rsidR="00761D43" w:rsidRPr="00173023">
      <w:rPr>
        <w:i/>
      </w:rPr>
      <w:t>/2018</w:t>
    </w:r>
    <w:r w:rsidR="00D21AC7">
      <w:rPr>
        <w:i/>
      </w:rPr>
      <w:t xml:space="preserve"> </w:t>
    </w:r>
    <w:proofErr w:type="spellStart"/>
    <w:r w:rsidR="00D21AC7">
      <w:rPr>
        <w:i/>
      </w:rPr>
      <w:t>bmb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4A0D"/>
    <w:rsid w:val="00005552"/>
    <w:rsid w:val="0002489A"/>
    <w:rsid w:val="000E2EAF"/>
    <w:rsid w:val="000F18FC"/>
    <w:rsid w:val="00110AAC"/>
    <w:rsid w:val="00147969"/>
    <w:rsid w:val="00173023"/>
    <w:rsid w:val="001D4BB0"/>
    <w:rsid w:val="001E0783"/>
    <w:rsid w:val="00210107"/>
    <w:rsid w:val="002657C1"/>
    <w:rsid w:val="00323375"/>
    <w:rsid w:val="00366166"/>
    <w:rsid w:val="00387EB1"/>
    <w:rsid w:val="003C7354"/>
    <w:rsid w:val="004C586B"/>
    <w:rsid w:val="004C7267"/>
    <w:rsid w:val="004F2961"/>
    <w:rsid w:val="00517E19"/>
    <w:rsid w:val="005A203A"/>
    <w:rsid w:val="005C60D2"/>
    <w:rsid w:val="005D66CF"/>
    <w:rsid w:val="00665205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05557"/>
    <w:rsid w:val="009617FF"/>
    <w:rsid w:val="0098162F"/>
    <w:rsid w:val="00993C83"/>
    <w:rsid w:val="009D2EF1"/>
    <w:rsid w:val="009E3359"/>
    <w:rsid w:val="009F702B"/>
    <w:rsid w:val="00A22D6B"/>
    <w:rsid w:val="00A53228"/>
    <w:rsid w:val="00A8178E"/>
    <w:rsid w:val="00A8610D"/>
    <w:rsid w:val="00AF243B"/>
    <w:rsid w:val="00AF4DD1"/>
    <w:rsid w:val="00B57654"/>
    <w:rsid w:val="00B65CE1"/>
    <w:rsid w:val="00BA07FB"/>
    <w:rsid w:val="00BE7B86"/>
    <w:rsid w:val="00BF4007"/>
    <w:rsid w:val="00C06888"/>
    <w:rsid w:val="00C10B61"/>
    <w:rsid w:val="00C76636"/>
    <w:rsid w:val="00D21AC7"/>
    <w:rsid w:val="00D2274C"/>
    <w:rsid w:val="00D47B9A"/>
    <w:rsid w:val="00D87631"/>
    <w:rsid w:val="00DD48F3"/>
    <w:rsid w:val="00E87527"/>
    <w:rsid w:val="00EA1C0D"/>
    <w:rsid w:val="00F25D44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Todd Fields</cp:lastModifiedBy>
  <cp:revision>7</cp:revision>
  <cp:lastPrinted>2018-09-04T19:27:00Z</cp:lastPrinted>
  <dcterms:created xsi:type="dcterms:W3CDTF">2019-09-10T18:26:00Z</dcterms:created>
  <dcterms:modified xsi:type="dcterms:W3CDTF">2019-09-13T15:44:00Z</dcterms:modified>
</cp:coreProperties>
</file>