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E" w:rsidRDefault="00F5089E" w:rsidP="00C560FC">
      <w:pPr>
        <w:tabs>
          <w:tab w:val="left" w:pos="3350"/>
          <w:tab w:val="right" w:leader="underscore" w:pos="5670"/>
          <w:tab w:val="left" w:pos="5760"/>
        </w:tabs>
        <w:spacing w:before="360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ACCESS Unit</w:t>
      </w:r>
      <w:bookmarkStart w:id="0" w:name="_GoBack"/>
      <w:bookmarkEnd w:id="0"/>
    </w:p>
    <w:p w:rsidR="00C560FC" w:rsidRDefault="00C560FC" w:rsidP="00C560FC">
      <w:pPr>
        <w:tabs>
          <w:tab w:val="left" w:pos="3350"/>
          <w:tab w:val="right" w:leader="underscore" w:pos="5670"/>
          <w:tab w:val="left" w:pos="5760"/>
        </w:tabs>
        <w:spacing w:before="360"/>
        <w:ind w:hanging="720"/>
      </w:pPr>
      <w:r w:rsidRPr="000B6C14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:  </w:t>
      </w:r>
      <w:r w:rsidRPr="001919F0">
        <w:rPr>
          <w:b/>
          <w:sz w:val="24"/>
          <w:szCs w:val="24"/>
        </w:rPr>
        <w:t>For academic year _</w:t>
      </w:r>
      <w:r>
        <w:rPr>
          <w:b/>
          <w:sz w:val="24"/>
          <w:szCs w:val="24"/>
        </w:rPr>
        <w:t>2017-2018</w:t>
      </w:r>
      <w:r w:rsidRPr="001919F0">
        <w:rPr>
          <w:b/>
          <w:sz w:val="24"/>
          <w:szCs w:val="24"/>
        </w:rPr>
        <w:t>__ (enter year, i.e. 2015-16)</w:t>
      </w:r>
    </w:p>
    <w:p w:rsidR="00C560FC" w:rsidRDefault="00C560FC" w:rsidP="00C560FC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47A6D" wp14:editId="2CE9A0AF">
                <wp:simplePos x="0" y="0"/>
                <wp:positionH relativeFrom="column">
                  <wp:posOffset>-458519</wp:posOffset>
                </wp:positionH>
                <wp:positionV relativeFrom="paragraph">
                  <wp:posOffset>103405</wp:posOffset>
                </wp:positionV>
                <wp:extent cx="2940627" cy="294640"/>
                <wp:effectExtent l="95250" t="0" r="88900" b="673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10" name="Straight Arrow Connector 10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0FC" w:rsidRPr="00B84D6C" w:rsidRDefault="00C560FC" w:rsidP="00C560FC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7D547A6D" id="Group 4" o:spid="_x0000_s1026" style="position:absolute;margin-left:-36.1pt;margin-top:8.15pt;width:231.55pt;height:23.2pt;z-index:251659264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Qw5AMAAOQOAAAOAAAAZHJzL2Uyb0RvYy54bWzsV1tv1DoQfkfiP1h5P81ls7eoW7QstEKq&#10;SkWLeHYdZxPh2Mb2Nll+PWM7SXebA5QeiSMkXhLfxnPx5/nGp6/amqF7qnQl+CqIT6IAUU5EXvHt&#10;Kvh4e/7PIkDaYJ5jJjhdBXuqg1dnL1+cNjKjiSgFy6lCsAnXWSNXQWmMzMJQk5LWWJ8ISTlMFkLV&#10;2EBXbcNc4QZ2r1mYRNEsbITKpRKEag2jb/xkcOb2LwpKzPui0NQgtgrANuO+yn3v7Dc8O8XZVmFZ&#10;VqQzAz/DihpXHJQOW73BBqOdqkZb1RVRQovCnBBRh6IoKkKdD+BNHD3y5kKJnXS+bLNmK4cwQWgf&#10;xenZ25Kr+2uFqnwVpAHiuIYjclpRakPTyG0GKy6UvJHXqhvY+p71ti1Ubf/gB2pdUPdDUGlrEIHB&#10;ZJlGs2QeIAJz0JmlXdRJCUczEiPl205wEkfxcj4dBBfz2NoU9mpDa91gzNAZrO78gg0O/Zo+2684&#10;SWdLZwLOeueObIznUbx4unNJnEx65xbp1Al+1zm4HfoBAPq/AeCmxJI6XGl7vF2gYrgfPlI3RuFq&#10;Wxq0Vko0aCM4h4skFIIlDgRObMM7SOhMAzqeigfQ4pEw8hlnUmlzQUWNbGMV6M6OwYDY3TF8f6mN&#10;R0IvYJUzjhpIQcsIQmn7BlfsLc+R2UtANbaudPhhHGDUyN5u1zJ7Rv0uH2gBFwKQ67W5VEQ3TKF7&#10;DEkEE0K56ZHIOKy2YkXF2CDo9f9QsFtvRalLU78iPEg4zYKbQbiuuFDO+0faTdubXPj1fQS83zYE&#10;dyLfuxN1oQG42Zv0O3AXj3A3HDiKndnWDgDqMxF3dEmPr9kIcqzi9mbg7AkgsxB02HHod62/KPrf&#10;UJSMUDTKXskvZS+AjU/RY077m8MsDf8ZOeyhTPhd+QxY3fPorS0TXosWxZMD5NlSCpkWxi3FdHz6&#10;HQZdzJI0hQpmDMF4skgnUQ/EaRItXWUzFBCjzKaAwn+U2bRgVX4ONGaz3yP2YAPhHa3yjDubdITL&#10;hRX3xGwptqe2jq1/niqfwJt/DOHmn39KuKa9a7vj91kTKeEfKFqS8wpKoEuszTVW8CKBg4ZXlnkP&#10;n4IJqHNE1wpQKdTXfxu366FOhNkANfDCgXrqyw4rGiD2jkMFuYxTKMWRcZ10Ok+gow5n7g5n+K7e&#10;CKh/gKzBOte06w3rm4US9Sd4jK2tVpjCnIDuVWD65sb4dxc85ghdr90ieARJbC75jSR9vWVLutv2&#10;E1ayqwIN3KIr0desI2b2ay3auFjvjCgqVxtatPmodiztChqXDOApBWNHb7XDvlv/8Dg9+wYAAP//&#10;AwBQSwMEFAAGAAgAAAAhAKlU++7gAAAACQEAAA8AAABkcnMvZG93bnJldi54bWxMj01rwkAQhu+F&#10;/odlCr3p5oPGGrMRkbYnKVQLxduajEkwOxuyaxL/faenehzeh/d9JltPphUD9q6xpCCcByCQCls2&#10;VCn4PrzPXkE4r6nUrSVUcEMH6/zxIdNpaUf6wmHvK8El5FKtoPa+S6V0RY1Gu7ntkDg7295oz2df&#10;ybLXI5ebVkZBkEijG+KFWne4rbG47K9Gwceox00cvg27y3l7Ox5ePn92ISr1/DRtViA8Tv4fhj99&#10;VoecnU72SqUTrYLZIooY5SCJQTAQL4MliJOCJFqAzDN5/0H+CwAA//8DAFBLAQItABQABgAIAAAA&#10;IQC2gziS/gAAAOEBAAATAAAAAAAAAAAAAAAAAAAAAABbQ29udGVudF9UeXBlc10ueG1sUEsBAi0A&#10;FAAGAAgAAAAhADj9If/WAAAAlAEAAAsAAAAAAAAAAAAAAAAALwEAAF9yZWxzLy5yZWxzUEsBAi0A&#10;FAAGAAgAAAAhAHMhJDDkAwAA5A4AAA4AAAAAAAAAAAAAAAAALgIAAGRycy9lMm9Eb2MueG1sUEsB&#10;Ai0AFAAGAAgAAAAhAKlU++7gAAAACQEAAA8AAAAAAAAAAAAAAAAAPgYAAGRycy9kb3ducmV2Lnht&#10;bFBLBQYAAAAABAAEAPMAAABLBwAAAAA=&#10;">
                <v:group id="Group 5" o:spid="_x0000_s1027" style="position:absolute;top:1246;width:31019;height:1702" coordsize="31021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28" type="#_x0000_t32" style="position:absolute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roxQAAANsAAAAPAAAAZHJzL2Rvd25yZXYueG1sRI9Ba8JA&#10;EIXvQv/DMoXedNNCRVJXKa2VIgUxVs9DdppEs7Pp7lbT/vrOQfA2w3vz3jfTee9adaIQG88G7kcZ&#10;KOLS24YrA5/bt+EEVEzIFlvPZOCXIsxnN4Mp5tafeUOnIlVKQjjmaKBOqcu1jmVNDuPId8Siffng&#10;MMkaKm0DniXctfohy8baYcPSUGNHLzWVx+LHGVjEEB+Xh7Xbve51+vhbfG+W/cqYu9v++QlUoj5d&#10;zZfrdyv4Qi+/yAB69g8AAP//AwBQSwECLQAUAAYACAAAACEA2+H2y+4AAACFAQAAEwAAAAAAAAAA&#10;AAAAAAAAAAAAW0NvbnRlbnRfVHlwZXNdLnhtbFBLAQItABQABgAIAAAAIQBa9CxbvwAAABUBAAAL&#10;AAAAAAAAAAAAAAAAAB8BAABfcmVscy8ucmVsc1BLAQItABQABgAIAAAAIQB6zHroxQAAANsAAAAP&#10;AAAAAAAAAAAAAAAAAAcCAABkcnMvZG93bnJldi54bWxQSwUGAAAAAAMAAwC3AAAA+QIAAAAA&#10;" strokecolor="#5b9bd5 [3204]" strokeweight="1.5pt">
                    <v:stroke endarrow="open" joinstyle="miter"/>
                  </v:shape>
                  <v:line id="Straight Connector 11" o:spid="_x0000_s1029" style="position:absolute;visibility:visible;mso-wrap-style:square" from="0,0" to="310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QHwQAAANsAAAAPAAAAZHJzL2Rvd25yZXYueG1sRE/NaoNA&#10;EL4X+g7LFHprVgMmxbqGEqj0FGKSBxjciUrcWXG3avr02UAgt/n4fifbzKYTIw2utawgXkQgiCur&#10;W64VnI4/H58gnEfW2FkmBVdysMlfXzJMtZ24pPHgaxFC2KWooPG+T6V0VUMG3cL2xIE728GgD3Co&#10;pR5wCuGmk8soWkmDLYeGBnvaNlRdDn9Gwe7/VLRJPBbXbVknuC4mZ5Z7pd7f5u8vEJ5m/xQ/3L86&#10;zI/h/ks4QOY3AAAA//8DAFBLAQItABQABgAIAAAAIQDb4fbL7gAAAIUBAAATAAAAAAAAAAAAAAAA&#10;AAAAAABbQ29udGVudF9UeXBlc10ueG1sUEsBAi0AFAAGAAgAAAAhAFr0LFu/AAAAFQEAAAsAAAAA&#10;AAAAAAAAAAAAHwEAAF9yZWxzLy5yZWxzUEsBAi0AFAAGAAgAAAAhAERUxAfBAAAA2wAAAA8AAAAA&#10;AAAAAAAAAAAABwIAAGRycy9kb3ducmV2LnhtbFBLBQYAAAAAAwADALcAAAD1AgAAAAA=&#10;" strokecolor="#5b9bd5 [3204]" strokeweight="1.5pt">
                    <v:stroke joinstyle="miter"/>
                  </v:line>
                  <v:shape id="Straight Arrow Connector 12" o:spid="_x0000_s1030" type="#_x0000_t32" style="position:absolute;left:31021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EEwgAAANsAAAAPAAAAZHJzL2Rvd25yZXYueG1sRE/fa8Iw&#10;EH4X9j+EG+xN0wmTUU3LcCoig6GbPh/N2XY2l5pE7fbXL4Lg2318P2+Sd6YRZ3K+tqzgeZCAIC6s&#10;rrlU8P0177+C8AFZY2OZFPyShzx76E0w1fbCazpvQiliCPsUFVQhtKmUvqjIoB/Yljhye+sMhghd&#10;KbXDSww3jRwmyUgarDk2VNjStKLisDkZBTPv/Mvi59Ns33cyfPzNjutFt1Lq6bF7G4MI1IW7+OZe&#10;6jh/CNdf4gEy+wcAAP//AwBQSwECLQAUAAYACAAAACEA2+H2y+4AAACFAQAAEwAAAAAAAAAAAAAA&#10;AAAAAAAAW0NvbnRlbnRfVHlwZXNdLnhtbFBLAQItABQABgAIAAAAIQBa9CxbvwAAABUBAAALAAAA&#10;AAAAAAAAAAAAAB8BAABfcmVscy8ucmVsc1BLAQItABQABgAIAAAAIQDlUkEEwgAAANsAAAAPAAAA&#10;AAAAAAAAAAAAAAcCAABkcnMvZG93bnJldi54bWxQSwUGAAAAAAMAAwC3AAAA9gIAAAAA&#10;" strokecolor="#5b9bd5 [3204]" strokeweight="1.5pt">
                    <v:stroke endarrow="open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8624;width:1384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C560FC" w:rsidRPr="00B84D6C" w:rsidRDefault="00C560FC" w:rsidP="00C560FC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757"/>
        <w:gridCol w:w="2361"/>
        <w:gridCol w:w="2355"/>
        <w:gridCol w:w="2552"/>
        <w:gridCol w:w="2387"/>
      </w:tblGrid>
      <w:tr w:rsidR="00C560FC" w:rsidRPr="00E90D55" w:rsidTr="00CC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5B9BD5" w:themeColor="accent1"/>
            </w:tcBorders>
          </w:tcPr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</w:p>
          <w:p w:rsidR="00C560FC" w:rsidRPr="00E90D55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</w:p>
          <w:p w:rsidR="00C560FC" w:rsidRPr="00B84D6C" w:rsidRDefault="00C560FC" w:rsidP="00CC7C2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 this department</w:t>
            </w:r>
          </w:p>
        </w:tc>
        <w:tc>
          <w:tcPr>
            <w:tcW w:w="2389" w:type="dxa"/>
          </w:tcPr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C560FC" w:rsidRPr="00E90D55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</w:p>
          <w:p w:rsidR="00C560FC" w:rsidRPr="00760D1E" w:rsidRDefault="00C560FC" w:rsidP="00CC7C23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5B9BD5" w:themeColor="accent1"/>
            </w:tcBorders>
          </w:tcPr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</w:p>
          <w:p w:rsidR="00C560FC" w:rsidRPr="00E90D55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5B9BD5" w:themeColor="accent1"/>
            </w:tcBorders>
          </w:tcPr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  <w:p w:rsidR="00C560FC" w:rsidRPr="00E90D55" w:rsidRDefault="00C560FC" w:rsidP="00CC7C23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389" w:type="dxa"/>
          </w:tcPr>
          <w:p w:rsidR="00C560FC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C560FC" w:rsidRPr="00760D1E" w:rsidRDefault="00C560FC" w:rsidP="00CC7C23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C560FC" w:rsidRDefault="00C560FC" w:rsidP="00CC7C2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560FC" w:rsidRPr="00E90D55" w:rsidRDefault="00C560FC" w:rsidP="00CC7C23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C560FC" w:rsidTr="00CC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5B9BD5" w:themeColor="accent1"/>
            </w:tcBorders>
          </w:tcPr>
          <w:p w:rsidR="00C560FC" w:rsidRDefault="00C560FC" w:rsidP="00CC7C23">
            <w:r>
              <w:t>Increase student awareness of Counseling Services.</w:t>
            </w:r>
          </w:p>
        </w:tc>
        <w:tc>
          <w:tcPr>
            <w:tcW w:w="2389" w:type="dxa"/>
          </w:tcPr>
          <w:p w:rsidR="00C560FC" w:rsidRDefault="00C560FC" w:rsidP="00CC7C23">
            <w:pPr>
              <w:pStyle w:val="ListParagraph"/>
              <w:ind w:left="82"/>
            </w:pPr>
            <w:r>
              <w:t xml:space="preserve">1. Utilize student focus groups to address best practices for increasing awareness. </w:t>
            </w:r>
          </w:p>
        </w:tc>
        <w:tc>
          <w:tcPr>
            <w:tcW w:w="2389" w:type="dxa"/>
            <w:tcBorders>
              <w:right w:val="single" w:sz="18" w:space="0" w:color="5B9BD5" w:themeColor="accent1"/>
            </w:tcBorders>
          </w:tcPr>
          <w:p w:rsidR="00C560FC" w:rsidRPr="008A433C" w:rsidRDefault="00C560FC" w:rsidP="00CC7C23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5B9BD5" w:themeColor="accent1"/>
            </w:tcBorders>
          </w:tcPr>
          <w:p w:rsidR="00C560FC" w:rsidRDefault="00C560FC" w:rsidP="00CC7C23">
            <w:r>
              <w:t>Fall 2014 Collin Student Survey showed 60% of students aware of CCS services.</w:t>
            </w:r>
          </w:p>
          <w:p w:rsidR="00C560FC" w:rsidRDefault="00C560FC" w:rsidP="00CC7C23">
            <w:r>
              <w:t>………………………………………..</w:t>
            </w:r>
          </w:p>
          <w:p w:rsidR="00C560FC" w:rsidRDefault="00C560FC" w:rsidP="00CC7C23">
            <w:pPr>
              <w:rPr>
                <w:color w:val="0070C0"/>
              </w:rPr>
            </w:pPr>
            <w:r>
              <w:rPr>
                <w:color w:val="0070C0"/>
              </w:rPr>
              <w:t>Based on the Spring 2017 Student Survey, 51% of students were aware of Counseling Services.</w:t>
            </w:r>
          </w:p>
          <w:p w:rsidR="00C560FC" w:rsidRDefault="00C560FC" w:rsidP="00CC7C23">
            <w:pPr>
              <w:rPr>
                <w:color w:val="0070C0"/>
              </w:rPr>
            </w:pPr>
          </w:p>
          <w:p w:rsidR="00C560FC" w:rsidRDefault="00C560FC" w:rsidP="00CC7C23">
            <w:pPr>
              <w:rPr>
                <w:color w:val="0070C0"/>
              </w:rPr>
            </w:pPr>
            <w:r>
              <w:rPr>
                <w:color w:val="0070C0"/>
              </w:rPr>
              <w:t xml:space="preserve">Faculty/Staff Spring 2018 Survey indicated a 4% </w:t>
            </w:r>
            <w:r>
              <w:rPr>
                <w:color w:val="0070C0"/>
              </w:rPr>
              <w:lastRenderedPageBreak/>
              <w:t>increase in awareness from Spring 2016.</w:t>
            </w:r>
          </w:p>
          <w:p w:rsidR="00C560FC" w:rsidRDefault="00C560FC" w:rsidP="00CC7C23">
            <w:pPr>
              <w:rPr>
                <w:color w:val="0070C0"/>
              </w:rPr>
            </w:pPr>
          </w:p>
          <w:p w:rsidR="00C560FC" w:rsidRDefault="00C560FC" w:rsidP="00CC7C23">
            <w:pPr>
              <w:rPr>
                <w:color w:val="0070C0"/>
              </w:rPr>
            </w:pPr>
            <w:r>
              <w:rPr>
                <w:color w:val="0070C0"/>
              </w:rPr>
              <w:t xml:space="preserve">An </w:t>
            </w:r>
            <w:proofErr w:type="spellStart"/>
            <w:r>
              <w:rPr>
                <w:color w:val="0070C0"/>
              </w:rPr>
              <w:t>inhouse</w:t>
            </w:r>
            <w:proofErr w:type="spellEnd"/>
            <w:r>
              <w:rPr>
                <w:color w:val="0070C0"/>
              </w:rPr>
              <w:t xml:space="preserve"> survey of counseling clients indicated that approximately 200 out of 645 students reported awareness of Counseling Services through their faculty/class.</w:t>
            </w:r>
          </w:p>
          <w:p w:rsidR="00C560FC" w:rsidRDefault="00C560FC" w:rsidP="00CC7C23">
            <w:pPr>
              <w:rPr>
                <w:color w:val="0070C0"/>
              </w:rPr>
            </w:pPr>
          </w:p>
          <w:p w:rsidR="00C560FC" w:rsidRPr="006E1B60" w:rsidRDefault="00C560FC" w:rsidP="00CC7C23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</w:tcPr>
          <w:p w:rsidR="00C560FC" w:rsidRDefault="00C560FC" w:rsidP="00CC7C23">
            <w:r>
              <w:lastRenderedPageBreak/>
              <w:t>Students unaware of CCS services will not benefit from the various services offered.</w:t>
            </w:r>
          </w:p>
          <w:p w:rsidR="00C560FC" w:rsidRDefault="00C560FC" w:rsidP="00CC7C23">
            <w:r>
              <w:t>……………………………………</w:t>
            </w:r>
          </w:p>
          <w:p w:rsidR="00C560FC" w:rsidRDefault="00C560FC" w:rsidP="00CC7C23">
            <w:r>
              <w:rPr>
                <w:color w:val="0070C0"/>
              </w:rPr>
              <w:t xml:space="preserve">The Spring 2017 Student Survey was completed March 2017 and may not be representative of changes made by department to increase awareness.  In addition, Career Services became a separate department </w:t>
            </w:r>
            <w:r>
              <w:rPr>
                <w:color w:val="0070C0"/>
              </w:rPr>
              <w:lastRenderedPageBreak/>
              <w:t>from Counseling Services.  Counseling Services was entitled “Personal Counseling Services” on the Spring 2017 Student Survey; however, the survey comments indicates some continued confusion from students.  May be problematic to rely on one survey for data.</w:t>
            </w:r>
          </w:p>
        </w:tc>
      </w:tr>
      <w:tr w:rsidR="00C560FC" w:rsidTr="00CC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5B9BD5" w:themeColor="accent1"/>
            </w:tcBorders>
          </w:tcPr>
          <w:p w:rsidR="00C560FC" w:rsidRDefault="00C560FC" w:rsidP="00CC7C23"/>
        </w:tc>
        <w:tc>
          <w:tcPr>
            <w:tcW w:w="2389" w:type="dxa"/>
          </w:tcPr>
          <w:p w:rsidR="00C560FC" w:rsidRDefault="00C560FC" w:rsidP="00CC7C23">
            <w:r>
              <w:t>2. Form faculty/staff committee to address marketing practices.</w:t>
            </w:r>
          </w:p>
        </w:tc>
        <w:tc>
          <w:tcPr>
            <w:tcW w:w="2389" w:type="dxa"/>
            <w:tcBorders>
              <w:right w:val="single" w:sz="18" w:space="0" w:color="5B9BD5" w:themeColor="accent1"/>
            </w:tcBorders>
          </w:tcPr>
          <w:p w:rsidR="00C560FC" w:rsidRDefault="00C560FC" w:rsidP="00CC7C23"/>
        </w:tc>
        <w:tc>
          <w:tcPr>
            <w:tcW w:w="2389" w:type="dxa"/>
            <w:tcBorders>
              <w:left w:val="single" w:sz="18" w:space="0" w:color="5B9BD5" w:themeColor="accent1"/>
            </w:tcBorders>
          </w:tcPr>
          <w:p w:rsidR="00C560FC" w:rsidRDefault="00C560FC" w:rsidP="00CC7C23">
            <w:r>
              <w:rPr>
                <w:color w:val="0070C0"/>
              </w:rPr>
              <w:t>Committee formed of Counseling Staff who addressed concerns on social media and in-class marketing services.</w:t>
            </w:r>
          </w:p>
        </w:tc>
        <w:tc>
          <w:tcPr>
            <w:tcW w:w="2389" w:type="dxa"/>
          </w:tcPr>
          <w:p w:rsidR="00C560FC" w:rsidRDefault="00C560FC" w:rsidP="00CC7C23"/>
        </w:tc>
      </w:tr>
      <w:tr w:rsidR="00C560FC" w:rsidTr="00CC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5B9BD5" w:themeColor="accent1"/>
            </w:tcBorders>
          </w:tcPr>
          <w:p w:rsidR="00C560FC" w:rsidRDefault="00C560FC" w:rsidP="00CC7C23">
            <w:r>
              <w:lastRenderedPageBreak/>
              <w:t>Develop and implement monitoring system of services used.</w:t>
            </w:r>
          </w:p>
        </w:tc>
        <w:tc>
          <w:tcPr>
            <w:tcW w:w="2389" w:type="dxa"/>
          </w:tcPr>
          <w:p w:rsidR="00C560FC" w:rsidRPr="00F41C69" w:rsidRDefault="00C560FC" w:rsidP="00CC7C23">
            <w:r>
              <w:t>1.Form departmental committee to investigate areas of insufficient data.</w:t>
            </w:r>
          </w:p>
        </w:tc>
        <w:tc>
          <w:tcPr>
            <w:tcW w:w="2389" w:type="dxa"/>
            <w:tcBorders>
              <w:right w:val="single" w:sz="18" w:space="0" w:color="5B9BD5" w:themeColor="accent1"/>
            </w:tcBorders>
          </w:tcPr>
          <w:p w:rsidR="00C560FC" w:rsidRDefault="00C560FC" w:rsidP="00CC7C23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5B9BD5" w:themeColor="accent1"/>
            </w:tcBorders>
          </w:tcPr>
          <w:p w:rsidR="00C560FC" w:rsidRDefault="00C560FC" w:rsidP="00CC7C23">
            <w:r>
              <w:t>2015-2016 Program Review revealed data sources insufficient to inform administrative decisions.</w:t>
            </w:r>
          </w:p>
          <w:p w:rsidR="00C560FC" w:rsidRDefault="00C560FC" w:rsidP="00CC7C23">
            <w:r>
              <w:rPr>
                <w:rFonts w:cstheme="minorHAnsi"/>
                <w:color w:val="0070C0"/>
              </w:rPr>
              <w:t>Department investigated areas and made changes.</w:t>
            </w:r>
          </w:p>
        </w:tc>
        <w:tc>
          <w:tcPr>
            <w:tcW w:w="2389" w:type="dxa"/>
          </w:tcPr>
          <w:p w:rsidR="00C560FC" w:rsidRDefault="00C560FC" w:rsidP="00CC7C23">
            <w:r>
              <w:t>Services offered not based on empirical data.</w:t>
            </w:r>
          </w:p>
          <w:p w:rsidR="00C560FC" w:rsidRDefault="00C560FC" w:rsidP="00CC7C23">
            <w:r>
              <w:rPr>
                <w:color w:val="0070C0"/>
              </w:rPr>
              <w:t>Increased more efficient data tracking which will enhance methods for increasing student awareness.</w:t>
            </w:r>
          </w:p>
        </w:tc>
      </w:tr>
      <w:tr w:rsidR="00C560FC" w:rsidTr="00CC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5B9BD5" w:themeColor="accent1"/>
            </w:tcBorders>
          </w:tcPr>
          <w:p w:rsidR="00C560FC" w:rsidRPr="00B768CB" w:rsidRDefault="00C560FC" w:rsidP="00CC7C23"/>
        </w:tc>
        <w:tc>
          <w:tcPr>
            <w:tcW w:w="2389" w:type="dxa"/>
          </w:tcPr>
          <w:p w:rsidR="00C560FC" w:rsidRDefault="00C560FC" w:rsidP="00CC7C23">
            <w:r>
              <w:t>2. Explore effective working data collection system.</w:t>
            </w:r>
          </w:p>
        </w:tc>
        <w:tc>
          <w:tcPr>
            <w:tcW w:w="2389" w:type="dxa"/>
            <w:tcBorders>
              <w:right w:val="single" w:sz="18" w:space="0" w:color="5B9BD5" w:themeColor="accent1"/>
            </w:tcBorders>
          </w:tcPr>
          <w:p w:rsidR="00C560FC" w:rsidRPr="008A433C" w:rsidRDefault="00C560FC" w:rsidP="00CC7C23"/>
        </w:tc>
        <w:tc>
          <w:tcPr>
            <w:tcW w:w="2389" w:type="dxa"/>
            <w:tcBorders>
              <w:left w:val="single" w:sz="18" w:space="0" w:color="5B9BD5" w:themeColor="accent1"/>
            </w:tcBorders>
          </w:tcPr>
          <w:p w:rsidR="00C560FC" w:rsidRDefault="00C560FC" w:rsidP="00CC7C23">
            <w:pPr>
              <w:pStyle w:val="BodyText"/>
              <w:numPr>
                <w:ilvl w:val="0"/>
                <w:numId w:val="0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2017-2018 -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Adjusted Titanium software to improve more effective data gathering, including adding question “How did you hear about our services?” completed by students attending counseling sessions.</w:t>
            </w:r>
          </w:p>
          <w:p w:rsidR="00C560FC" w:rsidRPr="002609E3" w:rsidRDefault="00C560FC" w:rsidP="00CC7C23">
            <w:pPr>
              <w:pStyle w:val="BodyText"/>
              <w:numPr>
                <w:ilvl w:val="0"/>
                <w:numId w:val="0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2609E3">
              <w:rPr>
                <w:color w:val="0070C0"/>
                <w:sz w:val="20"/>
                <w:szCs w:val="20"/>
              </w:rPr>
              <w:t xml:space="preserve">Also, changed department </w:t>
            </w:r>
            <w:proofErr w:type="spellStart"/>
            <w:r w:rsidRPr="002609E3">
              <w:rPr>
                <w:color w:val="0070C0"/>
                <w:sz w:val="20"/>
                <w:szCs w:val="20"/>
              </w:rPr>
              <w:t>descripter</w:t>
            </w:r>
            <w:proofErr w:type="spellEnd"/>
            <w:r w:rsidRPr="002609E3">
              <w:rPr>
                <w:color w:val="0070C0"/>
                <w:sz w:val="20"/>
                <w:szCs w:val="20"/>
              </w:rPr>
              <w:t xml:space="preserve"> from Counseling Services to “Personal Counseling Services”.</w:t>
            </w:r>
          </w:p>
          <w:p w:rsidR="00C560FC" w:rsidRDefault="00C560FC" w:rsidP="00CC7C23"/>
        </w:tc>
        <w:tc>
          <w:tcPr>
            <w:tcW w:w="2389" w:type="dxa"/>
          </w:tcPr>
          <w:p w:rsidR="00C560FC" w:rsidRDefault="00C560FC" w:rsidP="00CC7C23">
            <w:r>
              <w:rPr>
                <w:color w:val="0070C0"/>
              </w:rPr>
              <w:t>Surveyed counseling students regarding means of awareness.  Will use this information to formulate future plan for targeting areas of effective marketing.</w:t>
            </w:r>
          </w:p>
        </w:tc>
      </w:tr>
      <w:tr w:rsidR="00C560FC" w:rsidRPr="00901151" w:rsidTr="00CC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5B9BD5" w:themeColor="accent1"/>
            </w:tcBorders>
          </w:tcPr>
          <w:p w:rsidR="00C560FC" w:rsidRPr="00901151" w:rsidRDefault="00C560FC" w:rsidP="00CC7C23">
            <w:pPr>
              <w:jc w:val="both"/>
              <w:rPr>
                <w:b/>
              </w:rPr>
            </w:pPr>
          </w:p>
        </w:tc>
        <w:tc>
          <w:tcPr>
            <w:tcW w:w="2389" w:type="dxa"/>
          </w:tcPr>
          <w:p w:rsidR="00C560FC" w:rsidRPr="00901151" w:rsidRDefault="00C560FC" w:rsidP="00CC7C23">
            <w:pPr>
              <w:rPr>
                <w:b/>
              </w:rPr>
            </w:pPr>
          </w:p>
        </w:tc>
        <w:tc>
          <w:tcPr>
            <w:tcW w:w="2389" w:type="dxa"/>
            <w:tcBorders>
              <w:right w:val="single" w:sz="18" w:space="0" w:color="5B9BD5" w:themeColor="accent1"/>
            </w:tcBorders>
          </w:tcPr>
          <w:p w:rsidR="00C560FC" w:rsidRDefault="00C560FC" w:rsidP="00CC7C23"/>
        </w:tc>
        <w:tc>
          <w:tcPr>
            <w:tcW w:w="2389" w:type="dxa"/>
            <w:tcBorders>
              <w:left w:val="single" w:sz="18" w:space="0" w:color="5B9BD5" w:themeColor="accent1"/>
            </w:tcBorders>
          </w:tcPr>
          <w:p w:rsidR="00C560FC" w:rsidRPr="00901151" w:rsidRDefault="00C560FC" w:rsidP="00CC7C23">
            <w:pPr>
              <w:rPr>
                <w:b/>
              </w:rPr>
            </w:pPr>
          </w:p>
        </w:tc>
        <w:tc>
          <w:tcPr>
            <w:tcW w:w="2389" w:type="dxa"/>
          </w:tcPr>
          <w:p w:rsidR="00C560FC" w:rsidRPr="00901151" w:rsidRDefault="00C560FC" w:rsidP="00CC7C23">
            <w:pPr>
              <w:rPr>
                <w:b/>
                <w:color w:val="FF0000"/>
              </w:rPr>
            </w:pPr>
          </w:p>
        </w:tc>
      </w:tr>
    </w:tbl>
    <w:p w:rsidR="00A259C1" w:rsidRDefault="00A259C1"/>
    <w:sectPr w:rsidR="00A259C1" w:rsidSect="00C560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6669"/>
    <w:multiLevelType w:val="hybridMultilevel"/>
    <w:tmpl w:val="CC2AECD2"/>
    <w:lvl w:ilvl="0" w:tplc="04090015">
      <w:start w:val="1"/>
      <w:numFmt w:val="upperLetter"/>
      <w:pStyle w:val="BodyText"/>
      <w:lvlText w:val="%1."/>
      <w:lvlJc w:val="left"/>
      <w:pPr>
        <w:ind w:left="630" w:hanging="360"/>
      </w:pPr>
    </w:lvl>
    <w:lvl w:ilvl="1" w:tplc="8EDC0C16">
      <w:start w:val="1"/>
      <w:numFmt w:val="decimal"/>
      <w:lvlText w:val="%2."/>
      <w:lvlJc w:val="left"/>
      <w:pPr>
        <w:ind w:left="1350" w:hanging="360"/>
      </w:pPr>
      <w:rPr>
        <w:rFonts w:ascii="Franklin Gothic Book" w:hAnsi="Franklin Gothic Book" w:hint="default"/>
        <w:b w:val="0"/>
        <w:i w:val="0"/>
        <w:sz w:val="24"/>
      </w:r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FC"/>
    <w:rsid w:val="00A259C1"/>
    <w:rsid w:val="00C560FC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2DA"/>
  <w15:chartTrackingRefBased/>
  <w15:docId w15:val="{8C9695B9-8630-49F6-A990-A768E67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60FC"/>
    <w:pPr>
      <w:numPr>
        <w:numId w:val="1"/>
      </w:numPr>
      <w:spacing w:before="120" w:after="120" w:line="240" w:lineRule="auto"/>
    </w:pPr>
    <w:rPr>
      <w:rFonts w:ascii="Franklin Gothic Book" w:eastAsiaTheme="minorEastAsia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60FC"/>
    <w:rPr>
      <w:rFonts w:ascii="Franklin Gothic Book" w:eastAsiaTheme="minorEastAsia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0F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560FC"/>
    <w:pPr>
      <w:spacing w:after="0" w:line="240" w:lineRule="auto"/>
    </w:pPr>
    <w:rPr>
      <w:rFonts w:ascii="Franklin Gothic Book" w:hAnsi="Franklin Gothic Book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Beenah Moshay</dc:creator>
  <cp:keywords/>
  <dc:description/>
  <cp:lastModifiedBy>David Liska</cp:lastModifiedBy>
  <cp:revision>2</cp:revision>
  <dcterms:created xsi:type="dcterms:W3CDTF">2019-04-15T17:54:00Z</dcterms:created>
  <dcterms:modified xsi:type="dcterms:W3CDTF">2019-06-07T17:16:00Z</dcterms:modified>
</cp:coreProperties>
</file>