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Tr="00EB2442">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b/>
              </w:rPr>
              <w:t>Responsive</w:t>
            </w:r>
            <w:r w:rsidR="006E4B69">
              <w:rPr>
                <w:b/>
              </w:rPr>
              <w:t>ness</w:t>
            </w:r>
            <w:r w:rsidRPr="00785CEB">
              <w:rPr>
                <w:b/>
              </w:rPr>
              <w:t xml:space="preserve"> to the Component</w:t>
            </w:r>
          </w:p>
        </w:tc>
        <w:tc>
          <w:tcPr>
            <w:tcW w:w="1620" w:type="dxa"/>
            <w:vAlign w:val="center"/>
          </w:tcPr>
          <w:p w:rsidR="008B6986" w:rsidRPr="00785CEB" w:rsidRDefault="008B6986" w:rsidP="008B6986">
            <w:pPr>
              <w:jc w:val="center"/>
            </w:pPr>
            <w:r>
              <w:rPr>
                <w:b/>
              </w:rPr>
              <w:t>Evidence</w:t>
            </w:r>
          </w:p>
        </w:tc>
        <w:tc>
          <w:tcPr>
            <w:tcW w:w="1890" w:type="dxa"/>
            <w:vAlign w:val="center"/>
          </w:tcPr>
          <w:p w:rsidR="008B6986" w:rsidRPr="00EB2442" w:rsidRDefault="008B6986" w:rsidP="008B6986">
            <w:pPr>
              <w:jc w:val="center"/>
              <w:rPr>
                <w:sz w:val="20"/>
                <w:szCs w:val="20"/>
              </w:rPr>
            </w:pPr>
            <w:r w:rsidRPr="00EB2442">
              <w:rPr>
                <w:b/>
                <w:sz w:val="20"/>
                <w:szCs w:val="20"/>
              </w:rPr>
              <w:t>Analysis: Explanation/ Rationale of Assertions Supported by Evidence</w:t>
            </w:r>
          </w:p>
        </w:tc>
        <w:tc>
          <w:tcPr>
            <w:tcW w:w="1501" w:type="dxa"/>
            <w:vAlign w:val="center"/>
          </w:tcPr>
          <w:p w:rsidR="008B6986" w:rsidRPr="00785CEB" w:rsidRDefault="008B6986" w:rsidP="008B6986">
            <w:pPr>
              <w:jc w:val="center"/>
              <w:rPr>
                <w:b/>
              </w:rPr>
            </w:pPr>
            <w:r w:rsidRPr="00785CEB">
              <w:rPr>
                <w:b/>
              </w:rPr>
              <w:t>Overall Judgment</w:t>
            </w:r>
          </w:p>
        </w:tc>
        <w:tc>
          <w:tcPr>
            <w:tcW w:w="4434" w:type="dxa"/>
            <w:vAlign w:val="center"/>
          </w:tcPr>
          <w:p w:rsidR="008B6986" w:rsidRPr="00785CEB" w:rsidRDefault="008B6986" w:rsidP="008B6986">
            <w:pPr>
              <w:jc w:val="center"/>
              <w:rPr>
                <w:b/>
              </w:rPr>
            </w:pPr>
            <w:r w:rsidRPr="00785CEB">
              <w:rPr>
                <w:b/>
              </w:rPr>
              <w:t>Comments</w:t>
            </w:r>
          </w:p>
        </w:tc>
      </w:tr>
      <w:tr w:rsidR="00AC5518" w:rsidTr="00EB2442">
        <w:tc>
          <w:tcPr>
            <w:tcW w:w="3235" w:type="dxa"/>
          </w:tcPr>
          <w:p w:rsidR="008B6986" w:rsidRPr="00EB2442" w:rsidRDefault="008B6986" w:rsidP="008B6986">
            <w:pPr>
              <w:rPr>
                <w:sz w:val="20"/>
                <w:szCs w:val="20"/>
              </w:rPr>
            </w:pPr>
            <w:r w:rsidRPr="00EB2442">
              <w:rPr>
                <w:sz w:val="20"/>
                <w:szCs w:val="20"/>
              </w:rPr>
              <w:t>1. What does the workforce program do?</w:t>
            </w:r>
          </w:p>
        </w:tc>
        <w:tc>
          <w:tcPr>
            <w:tcW w:w="1710" w:type="dxa"/>
          </w:tcPr>
          <w:p w:rsidR="008B6986" w:rsidRDefault="000651E8" w:rsidP="008B6986">
            <w:r>
              <w:t>AWOR</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0651E8" w:rsidP="008B6986">
            <w:r>
              <w:t>AWOR</w:t>
            </w:r>
          </w:p>
        </w:tc>
        <w:tc>
          <w:tcPr>
            <w:tcW w:w="4434" w:type="dxa"/>
          </w:tcPr>
          <w:p w:rsidR="008B6986" w:rsidRDefault="000651E8" w:rsidP="008B6986">
            <w:r>
              <w:t>A</w:t>
            </w:r>
            <w:r w:rsidRPr="000651E8">
              <w:t xml:space="preserve">ddresses all aspects of the prompt with </w:t>
            </w:r>
            <w:r>
              <w:t>good</w:t>
            </w:r>
            <w:r w:rsidRPr="000651E8">
              <w:t xml:space="preserve"> details about the program's purpose, learning outcomes, target industry, career paths, and relevant regulations.</w:t>
            </w:r>
          </w:p>
        </w:tc>
      </w:tr>
      <w:tr w:rsidR="00AC5518" w:rsidTr="00EB2442">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0651E8" w:rsidP="008B6986">
            <w:r>
              <w:t>AWOR</w:t>
            </w:r>
          </w:p>
        </w:tc>
        <w:tc>
          <w:tcPr>
            <w:tcW w:w="1620" w:type="dxa"/>
          </w:tcPr>
          <w:p w:rsidR="008B6986" w:rsidRDefault="000651E8" w:rsidP="008B6986">
            <w:r>
              <w:t>AWR</w:t>
            </w:r>
          </w:p>
        </w:tc>
        <w:tc>
          <w:tcPr>
            <w:tcW w:w="1890" w:type="dxa"/>
          </w:tcPr>
          <w:p w:rsidR="008B6986" w:rsidRDefault="000651E8" w:rsidP="008B6986">
            <w:r>
              <w:t>AWR</w:t>
            </w:r>
          </w:p>
        </w:tc>
        <w:tc>
          <w:tcPr>
            <w:tcW w:w="1501" w:type="dxa"/>
          </w:tcPr>
          <w:p w:rsidR="008B6986" w:rsidRDefault="000651E8" w:rsidP="008B6986">
            <w:r>
              <w:t>AWR</w:t>
            </w:r>
          </w:p>
        </w:tc>
        <w:tc>
          <w:tcPr>
            <w:tcW w:w="4434" w:type="dxa"/>
          </w:tcPr>
          <w:p w:rsidR="000651E8" w:rsidRDefault="000651E8" w:rsidP="000651E8">
            <w:r>
              <w:t>Clearly outlines efforts to develop student skills, strengthen character, and challenge the intellect, connecting these elements to the mission statement.</w:t>
            </w:r>
          </w:p>
          <w:p w:rsidR="000651E8" w:rsidRDefault="000651E8" w:rsidP="000651E8"/>
          <w:p w:rsidR="000651E8" w:rsidRDefault="000651E8" w:rsidP="000651E8">
            <w:r>
              <w:t>Provides detailed information on strategies to improve student outcomes, become national exemplar, and support student transitions, demonstrating alignment with the strategic plan.</w:t>
            </w:r>
          </w:p>
          <w:p w:rsidR="000651E8" w:rsidRDefault="000651E8" w:rsidP="000651E8"/>
          <w:p w:rsidR="0068640B" w:rsidRDefault="007930C0" w:rsidP="000651E8">
            <w:r>
              <w:t>Documentation of s</w:t>
            </w:r>
            <w:r w:rsidR="006C6334">
              <w:t>upporting e</w:t>
            </w:r>
            <w:r w:rsidR="000651E8">
              <w:t>vidence</w:t>
            </w:r>
            <w:r w:rsidR="006C6334">
              <w:t xml:space="preserve"> should be provided. </w:t>
            </w:r>
            <w:r w:rsidR="000651E8">
              <w:t xml:space="preserve">Analysis is clear and concise, </w:t>
            </w:r>
            <w:r w:rsidR="006C6334">
              <w:t xml:space="preserve">but should be </w:t>
            </w:r>
            <w:r w:rsidR="000651E8">
              <w:t>connect</w:t>
            </w:r>
            <w:r w:rsidR="006C6334">
              <w:t>ed to documentation of</w:t>
            </w:r>
            <w:r w:rsidR="000651E8">
              <w:t xml:space="preserve"> evidence to </w:t>
            </w:r>
            <w:r w:rsidR="006C6334">
              <w:t xml:space="preserve">make sure </w:t>
            </w:r>
            <w:r w:rsidR="000651E8">
              <w:t xml:space="preserve">specific aspects of the mission and strategic plan </w:t>
            </w:r>
            <w:r w:rsidR="006C6334">
              <w:t xml:space="preserve">are </w:t>
            </w:r>
            <w:r w:rsidR="000651E8">
              <w:t>addressed.</w:t>
            </w:r>
          </w:p>
        </w:tc>
      </w:tr>
      <w:tr w:rsidR="00AC5518" w:rsidTr="00EB2442">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7E308C" w:rsidP="008B6986">
            <w:r>
              <w:t>AWOR</w:t>
            </w:r>
          </w:p>
        </w:tc>
        <w:tc>
          <w:tcPr>
            <w:tcW w:w="1620" w:type="dxa"/>
          </w:tcPr>
          <w:p w:rsidR="008B6986" w:rsidRDefault="007E308C" w:rsidP="008B6986">
            <w:r>
              <w:t>AWR</w:t>
            </w:r>
          </w:p>
        </w:tc>
        <w:tc>
          <w:tcPr>
            <w:tcW w:w="1890" w:type="dxa"/>
          </w:tcPr>
          <w:p w:rsidR="008B6986" w:rsidRDefault="007E308C" w:rsidP="008B6986">
            <w:r>
              <w:t>AWR</w:t>
            </w:r>
          </w:p>
        </w:tc>
        <w:tc>
          <w:tcPr>
            <w:tcW w:w="1501" w:type="dxa"/>
          </w:tcPr>
          <w:p w:rsidR="008B6986" w:rsidRDefault="007E308C" w:rsidP="008B6986">
            <w:r>
              <w:t>AWR</w:t>
            </w:r>
          </w:p>
        </w:tc>
        <w:tc>
          <w:tcPr>
            <w:tcW w:w="4434" w:type="dxa"/>
          </w:tcPr>
          <w:p w:rsidR="007E308C" w:rsidRDefault="007E308C" w:rsidP="007E308C">
            <w:pPr>
              <w:tabs>
                <w:tab w:val="num" w:pos="720"/>
              </w:tabs>
            </w:pPr>
            <w:r>
              <w:t>E</w:t>
            </w:r>
            <w:r w:rsidRPr="007E308C">
              <w:t xml:space="preserve">ffectively addresses all aspects of the prompt, including enrollment patterns, student support initiatives, and diversity considerations. </w:t>
            </w:r>
            <w:r>
              <w:t>C</w:t>
            </w:r>
            <w:r w:rsidRPr="007E308C">
              <w:t xml:space="preserve">learly explains challenges </w:t>
            </w:r>
            <w:r w:rsidRPr="007E308C">
              <w:lastRenderedPageBreak/>
              <w:t>and proposes solutions to improve enrollment and student success.</w:t>
            </w:r>
          </w:p>
          <w:p w:rsidR="007E308C" w:rsidRPr="007E308C" w:rsidRDefault="007E308C" w:rsidP="007E308C">
            <w:pPr>
              <w:tabs>
                <w:tab w:val="num" w:pos="720"/>
              </w:tabs>
            </w:pPr>
          </w:p>
          <w:p w:rsidR="007E308C" w:rsidRPr="007E308C" w:rsidRDefault="007E308C" w:rsidP="007E308C">
            <w:pPr>
              <w:tabs>
                <w:tab w:val="num" w:pos="720"/>
              </w:tabs>
            </w:pPr>
            <w:r>
              <w:t>Evidence is strong,</w:t>
            </w:r>
            <w:r w:rsidRPr="007E308C">
              <w:t xml:space="preserve"> includ</w:t>
            </w:r>
            <w:r>
              <w:t>ing</w:t>
            </w:r>
            <w:r w:rsidRPr="007E308C">
              <w:t xml:space="preserve"> enrollment data for both tracks, details about student support services, and information on program demographics</w:t>
            </w:r>
            <w:r>
              <w:t>, but documentation of evidence should be provided</w:t>
            </w:r>
            <w:r w:rsidRPr="007E308C">
              <w:t>.</w:t>
            </w:r>
          </w:p>
          <w:p w:rsidR="007E308C" w:rsidRDefault="007E308C" w:rsidP="007E308C">
            <w:pPr>
              <w:tabs>
                <w:tab w:val="num" w:pos="720"/>
              </w:tabs>
            </w:pPr>
          </w:p>
          <w:p w:rsidR="008B6986" w:rsidRDefault="007E308C" w:rsidP="00BA08EC">
            <w:pPr>
              <w:tabs>
                <w:tab w:val="num" w:pos="720"/>
              </w:tabs>
            </w:pPr>
            <w:r>
              <w:t>O</w:t>
            </w:r>
            <w:r w:rsidRPr="007E308C">
              <w:t>ffers a clear and well-supported analysis of the evidence</w:t>
            </w:r>
            <w:r w:rsidR="008E583C">
              <w:t>, but should be connected to documentation</w:t>
            </w:r>
            <w:r w:rsidRPr="007E308C">
              <w:t xml:space="preserve">. They connect data on enrollment to </w:t>
            </w:r>
            <w:r>
              <w:t xml:space="preserve">plans </w:t>
            </w:r>
            <w:r w:rsidRPr="007E308C">
              <w:t>for improvement and explain rationale behind</w:t>
            </w:r>
            <w:r>
              <w:t xml:space="preserve"> </w:t>
            </w:r>
            <w:r w:rsidRPr="007E308C">
              <w:t>student support initiatives. Th</w:t>
            </w:r>
            <w:r>
              <w:t>is e</w:t>
            </w:r>
            <w:r w:rsidRPr="007E308C">
              <w:t>ffectively demonstrates how these aspects contribute to student success in the program.</w:t>
            </w:r>
          </w:p>
        </w:tc>
      </w:tr>
      <w:tr w:rsidR="00AC5518" w:rsidTr="00EB2442">
        <w:tc>
          <w:tcPr>
            <w:tcW w:w="3235" w:type="dxa"/>
          </w:tcPr>
          <w:p w:rsidR="008B6986" w:rsidRPr="00EB2442" w:rsidRDefault="008B6986" w:rsidP="008B6986">
            <w:pPr>
              <w:rPr>
                <w:sz w:val="20"/>
                <w:szCs w:val="20"/>
              </w:rPr>
            </w:pPr>
            <w:r w:rsidRPr="00EB2442">
              <w:rPr>
                <w:sz w:val="20"/>
                <w:szCs w:val="20"/>
              </w:rPr>
              <w:lastRenderedPageBreak/>
              <w:t>4. Progra</w:t>
            </w:r>
            <w:r w:rsidR="00E23DB6" w:rsidRPr="00EB2442">
              <w:rPr>
                <w:sz w:val="20"/>
                <w:szCs w:val="20"/>
              </w:rPr>
              <w:t>m relationship to market demand.</w:t>
            </w:r>
          </w:p>
        </w:tc>
        <w:tc>
          <w:tcPr>
            <w:tcW w:w="1710" w:type="dxa"/>
          </w:tcPr>
          <w:p w:rsidR="008B6986" w:rsidRDefault="002A78FD" w:rsidP="002A78FD">
            <w:pPr>
              <w:tabs>
                <w:tab w:val="left" w:pos="1333"/>
              </w:tabs>
            </w:pPr>
            <w:r>
              <w:t>AWR</w:t>
            </w:r>
            <w:r w:rsidR="00695126">
              <w:t>R</w:t>
            </w:r>
          </w:p>
        </w:tc>
        <w:tc>
          <w:tcPr>
            <w:tcW w:w="1620" w:type="dxa"/>
          </w:tcPr>
          <w:p w:rsidR="008B6986" w:rsidRDefault="002A78FD" w:rsidP="008B6986">
            <w:r>
              <w:t>AWR</w:t>
            </w:r>
          </w:p>
        </w:tc>
        <w:tc>
          <w:tcPr>
            <w:tcW w:w="1890" w:type="dxa"/>
          </w:tcPr>
          <w:p w:rsidR="008B6986" w:rsidRDefault="002A78FD" w:rsidP="008B6986">
            <w:r>
              <w:t>AWR</w:t>
            </w:r>
          </w:p>
        </w:tc>
        <w:tc>
          <w:tcPr>
            <w:tcW w:w="1501" w:type="dxa"/>
          </w:tcPr>
          <w:p w:rsidR="008B6986" w:rsidRDefault="002A78FD" w:rsidP="008B6986">
            <w:r>
              <w:t>AWR</w:t>
            </w:r>
          </w:p>
        </w:tc>
        <w:tc>
          <w:tcPr>
            <w:tcW w:w="4434" w:type="dxa"/>
          </w:tcPr>
          <w:p w:rsidR="002A78FD" w:rsidRDefault="002A78FD" w:rsidP="002A78FD">
            <w:r>
              <w:t>Mostly addresses key points. Discusses job availability, employer interest, and graduate placement (with limitations acknowledged) but information on future demand projections and articulation agreements is missing.</w:t>
            </w:r>
          </w:p>
          <w:p w:rsidR="002A78FD" w:rsidRDefault="002A78FD" w:rsidP="002A78FD"/>
          <w:p w:rsidR="002A78FD" w:rsidRDefault="002A78FD" w:rsidP="002A78FD">
            <w:r>
              <w:t>Evidence includes postings from Indeed.com and ZipRecruiter along with salary data from Salary.com and employer feedback about the program's curriculum, but documentation should be provided.</w:t>
            </w:r>
          </w:p>
          <w:p w:rsidR="002A78FD" w:rsidRDefault="002A78FD" w:rsidP="002A78FD"/>
          <w:p w:rsidR="008B6986" w:rsidRDefault="002A78FD" w:rsidP="002A78FD">
            <w:r>
              <w:lastRenderedPageBreak/>
              <w:t>Analysis connects job postings to local market demand but doesn't elaborate on projected growth. They mention employer requests and lack of competition, but should include data on future job trends and how program prepares graduates for those demands (e.g., mention of RPSGT credential). They acknowledge limitations of graduate placement data, but don't offer solutions to improve data collection.</w:t>
            </w:r>
          </w:p>
        </w:tc>
      </w:tr>
      <w:tr w:rsidR="00AC5518" w:rsidTr="00EB2442">
        <w:tc>
          <w:tcPr>
            <w:tcW w:w="3235" w:type="dxa"/>
          </w:tcPr>
          <w:p w:rsidR="008B6986" w:rsidRPr="00EB2442" w:rsidRDefault="008B6986" w:rsidP="008B6986">
            <w:pPr>
              <w:rPr>
                <w:sz w:val="20"/>
                <w:szCs w:val="20"/>
              </w:rPr>
            </w:pPr>
            <w:r w:rsidRPr="00EB2442">
              <w:rPr>
                <w:sz w:val="20"/>
                <w:szCs w:val="20"/>
              </w:rPr>
              <w:lastRenderedPageBreak/>
              <w:t>5.  How effective is the program’s curriculum?</w:t>
            </w:r>
          </w:p>
        </w:tc>
        <w:tc>
          <w:tcPr>
            <w:tcW w:w="1710" w:type="dxa"/>
          </w:tcPr>
          <w:p w:rsidR="008B6986" w:rsidRDefault="00AC5DCA" w:rsidP="008B6986">
            <w:r>
              <w:t>AWOR</w:t>
            </w:r>
          </w:p>
        </w:tc>
        <w:tc>
          <w:tcPr>
            <w:tcW w:w="1620" w:type="dxa"/>
          </w:tcPr>
          <w:p w:rsidR="008B6986" w:rsidRDefault="00AC5DCA" w:rsidP="008B6986">
            <w:r>
              <w:t>AWR</w:t>
            </w:r>
          </w:p>
        </w:tc>
        <w:tc>
          <w:tcPr>
            <w:tcW w:w="1890" w:type="dxa"/>
          </w:tcPr>
          <w:p w:rsidR="008B6986" w:rsidRDefault="00AC5DCA" w:rsidP="008B6986">
            <w:r>
              <w:t>AWR</w:t>
            </w:r>
          </w:p>
        </w:tc>
        <w:tc>
          <w:tcPr>
            <w:tcW w:w="1501" w:type="dxa"/>
          </w:tcPr>
          <w:p w:rsidR="008B6986" w:rsidRDefault="00AC5DCA" w:rsidP="008B6986">
            <w:r>
              <w:t>AWR</w:t>
            </w:r>
          </w:p>
        </w:tc>
        <w:tc>
          <w:tcPr>
            <w:tcW w:w="4434" w:type="dxa"/>
          </w:tcPr>
          <w:p w:rsidR="00AC5DCA" w:rsidRDefault="00AC5DCA" w:rsidP="00AC5DCA">
            <w:r>
              <w:t>Directly addresses all aspects of prompt and analyzes data on program completions, course success and completion rates, and identify potential barriers to completion.</w:t>
            </w:r>
          </w:p>
          <w:p w:rsidR="00AC5DCA" w:rsidRDefault="00AC5DCA" w:rsidP="00AC5DCA"/>
          <w:p w:rsidR="00AC5DCA" w:rsidRDefault="00307B68" w:rsidP="00AC5DCA">
            <w:r>
              <w:t>Discusses</w:t>
            </w:r>
            <w:r w:rsidR="00AC5DCA">
              <w:t xml:space="preserve"> completion rates, enrollment flow data, course success rates, and success rates on the RPSGT exam but documentation should be provided.</w:t>
            </w:r>
            <w:r>
              <w:t xml:space="preserve"> Evidence provided in Appendix A for meeting minutes and Appendix B for grades.</w:t>
            </w:r>
          </w:p>
          <w:p w:rsidR="00AC5DCA" w:rsidRDefault="00AC5DCA" w:rsidP="00AC5DCA"/>
          <w:p w:rsidR="008B6986" w:rsidRDefault="00AC5DCA" w:rsidP="00AC5DCA">
            <w:r>
              <w:t xml:space="preserve">Good analysis of data related to program, connecting high drop-out rate in first year to overnight clinical schedule and implemented solutions. Analysis could be stronger by acknowledging impact of prerequisite course success rates on program enrollment based on data included and exploring reasons and solutions for </w:t>
            </w:r>
            <w:r>
              <w:lastRenderedPageBreak/>
              <w:t>lower success rates in Biology 2404 and proposing solutions.</w:t>
            </w:r>
          </w:p>
        </w:tc>
      </w:tr>
      <w:tr w:rsidR="00AC5518" w:rsidTr="00EB2442">
        <w:tc>
          <w:tcPr>
            <w:tcW w:w="3235" w:type="dxa"/>
          </w:tcPr>
          <w:p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710" w:type="dxa"/>
            <w:shd w:val="clear" w:color="auto" w:fill="auto"/>
          </w:tcPr>
          <w:p w:rsidR="008B6986" w:rsidRDefault="001C3C64" w:rsidP="008B6986">
            <w:pPr>
              <w:jc w:val="center"/>
            </w:pPr>
            <w:r>
              <w:t>AWR</w:t>
            </w:r>
            <w:r w:rsidR="00BC599D">
              <w:t>R</w:t>
            </w:r>
          </w:p>
        </w:tc>
        <w:tc>
          <w:tcPr>
            <w:tcW w:w="1620" w:type="dxa"/>
            <w:shd w:val="clear" w:color="auto" w:fill="auto"/>
          </w:tcPr>
          <w:p w:rsidR="008B6986" w:rsidRDefault="00BC599D" w:rsidP="008B6986">
            <w:pPr>
              <w:jc w:val="center"/>
            </w:pPr>
            <w:r>
              <w:t>AWR</w:t>
            </w:r>
          </w:p>
        </w:tc>
        <w:tc>
          <w:tcPr>
            <w:tcW w:w="1890" w:type="dxa"/>
            <w:shd w:val="clear" w:color="auto" w:fill="auto"/>
          </w:tcPr>
          <w:p w:rsidR="008B6986" w:rsidRDefault="00BC599D" w:rsidP="008B6986">
            <w:pPr>
              <w:jc w:val="center"/>
            </w:pPr>
            <w:r>
              <w:t>AWRR</w:t>
            </w:r>
          </w:p>
        </w:tc>
        <w:tc>
          <w:tcPr>
            <w:tcW w:w="1501" w:type="dxa"/>
            <w:shd w:val="clear" w:color="auto" w:fill="auto"/>
          </w:tcPr>
          <w:p w:rsidR="008B6986" w:rsidRDefault="00BC599D" w:rsidP="008B6986">
            <w:pPr>
              <w:jc w:val="center"/>
            </w:pPr>
            <w:r>
              <w:t>AWRR</w:t>
            </w:r>
          </w:p>
        </w:tc>
        <w:tc>
          <w:tcPr>
            <w:tcW w:w="4434" w:type="dxa"/>
            <w:shd w:val="clear" w:color="auto" w:fill="auto"/>
          </w:tcPr>
          <w:p w:rsidR="00BC599D" w:rsidRDefault="00BC599D" w:rsidP="00BC599D">
            <w:r>
              <w:t>Addresses most key aspects of prompt including methods for soliciting student feedback, website maintenance procedures, but no discussion of efforts to ensure accessible materials.</w:t>
            </w:r>
          </w:p>
          <w:p w:rsidR="00BC599D" w:rsidRDefault="00BC599D" w:rsidP="00BC599D"/>
          <w:p w:rsidR="00BC599D" w:rsidRDefault="00BC599D" w:rsidP="00BC599D">
            <w:r>
              <w:t xml:space="preserve">Discusses soliciting feedback through information sessions and advisory committee review </w:t>
            </w:r>
            <w:r w:rsidR="00FA3296">
              <w:t>but should provide documentation. Program Lit Review seems complete and provides link for evidence</w:t>
            </w:r>
            <w:r>
              <w:t>. They mention website updates but don't specify the frequency.</w:t>
            </w:r>
          </w:p>
          <w:p w:rsidR="00BC599D" w:rsidRDefault="00BC599D" w:rsidP="00BC599D"/>
          <w:p w:rsidR="008B6986" w:rsidRDefault="00BC599D" w:rsidP="00BC599D">
            <w:r>
              <w:t xml:space="preserve">Analysis explains how they gather feedback but doesn't elaborate on how incorporated into improvements. While they mention director updates, a formal process for ensuring accuracy and accessibility would strengthen the analysis. </w:t>
            </w:r>
            <w:r w:rsidR="00FA3296">
              <w:t>N</w:t>
            </w:r>
            <w:r>
              <w:t>o mention of accessibility considerations for program materials.</w:t>
            </w:r>
          </w:p>
        </w:tc>
      </w:tr>
      <w:tr w:rsidR="00AC5518" w:rsidTr="00EB2442">
        <w:tc>
          <w:tcPr>
            <w:tcW w:w="3235" w:type="dxa"/>
          </w:tcPr>
          <w:p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1710" w:type="dxa"/>
          </w:tcPr>
          <w:p w:rsidR="008B6986" w:rsidRDefault="00C51705" w:rsidP="008B6986">
            <w:r>
              <w:t>AWOR</w:t>
            </w:r>
          </w:p>
        </w:tc>
        <w:tc>
          <w:tcPr>
            <w:tcW w:w="1620" w:type="dxa"/>
          </w:tcPr>
          <w:p w:rsidR="008B6986" w:rsidRDefault="003C319A" w:rsidP="008B6986">
            <w:r>
              <w:t>AWR</w:t>
            </w:r>
          </w:p>
        </w:tc>
        <w:tc>
          <w:tcPr>
            <w:tcW w:w="1890" w:type="dxa"/>
          </w:tcPr>
          <w:p w:rsidR="008B6986" w:rsidRDefault="003C319A" w:rsidP="008B6986">
            <w:r>
              <w:t>AWR</w:t>
            </w:r>
          </w:p>
        </w:tc>
        <w:tc>
          <w:tcPr>
            <w:tcW w:w="1501" w:type="dxa"/>
          </w:tcPr>
          <w:p w:rsidR="008B6986" w:rsidRDefault="003C319A" w:rsidP="008B6986">
            <w:r>
              <w:t>AWR</w:t>
            </w:r>
          </w:p>
        </w:tc>
        <w:tc>
          <w:tcPr>
            <w:tcW w:w="4434" w:type="dxa"/>
          </w:tcPr>
          <w:p w:rsidR="008B6986" w:rsidRDefault="003C319A" w:rsidP="008B6986">
            <w:r>
              <w:t>Addresses all key aspects of the prompt regarding partnership resources.</w:t>
            </w:r>
          </w:p>
          <w:p w:rsidR="003C319A" w:rsidRDefault="003C319A" w:rsidP="008B6986"/>
          <w:p w:rsidR="003C319A" w:rsidRDefault="003C319A" w:rsidP="008B6986">
            <w:r>
              <w:t>Partnership Resources Table provides evidence, but documentation should also be provided.</w:t>
            </w:r>
          </w:p>
          <w:p w:rsidR="003C319A" w:rsidRDefault="003C319A" w:rsidP="008B6986"/>
          <w:p w:rsidR="003C319A" w:rsidRDefault="003C319A" w:rsidP="008B6986">
            <w:r>
              <w:lastRenderedPageBreak/>
              <w:t>Analysis is clear and comprehensive, but should be linked to documented evidence.</w:t>
            </w:r>
          </w:p>
        </w:tc>
      </w:tr>
      <w:tr w:rsidR="00F80359" w:rsidRPr="00823434" w:rsidTr="00EB2442">
        <w:tc>
          <w:tcPr>
            <w:tcW w:w="3235" w:type="dxa"/>
          </w:tcPr>
          <w:p w:rsidR="00F80359" w:rsidRPr="00EB2442" w:rsidRDefault="00F80359" w:rsidP="00F80359">
            <w:pPr>
              <w:rPr>
                <w:sz w:val="20"/>
                <w:szCs w:val="20"/>
              </w:rPr>
            </w:pPr>
            <w:r w:rsidRPr="00EB2442">
              <w:rPr>
                <w:sz w:val="20"/>
                <w:szCs w:val="20"/>
              </w:rPr>
              <w:lastRenderedPageBreak/>
              <w:t>8</w:t>
            </w:r>
            <w:r>
              <w:rPr>
                <w:sz w:val="20"/>
                <w:szCs w:val="20"/>
              </w:rPr>
              <w:t xml:space="preserve">. Are the faculty </w:t>
            </w:r>
            <w:r w:rsidRPr="00EB2442">
              <w:rPr>
                <w:sz w:val="20"/>
                <w:szCs w:val="20"/>
              </w:rPr>
              <w:t>supported with professional development?</w:t>
            </w:r>
          </w:p>
        </w:tc>
        <w:tc>
          <w:tcPr>
            <w:tcW w:w="1710" w:type="dxa"/>
          </w:tcPr>
          <w:p w:rsidR="00F80359" w:rsidRDefault="00F80359" w:rsidP="00F80359">
            <w:r>
              <w:t>AW</w:t>
            </w:r>
            <w:r w:rsidR="00FE78E8">
              <w:t>O</w:t>
            </w:r>
            <w:r>
              <w:t>R</w:t>
            </w:r>
          </w:p>
        </w:tc>
        <w:tc>
          <w:tcPr>
            <w:tcW w:w="1620" w:type="dxa"/>
          </w:tcPr>
          <w:p w:rsidR="00F80359" w:rsidRDefault="00FE78E8" w:rsidP="00F80359">
            <w:r>
              <w:t>AWOR</w:t>
            </w:r>
          </w:p>
        </w:tc>
        <w:tc>
          <w:tcPr>
            <w:tcW w:w="1890" w:type="dxa"/>
          </w:tcPr>
          <w:p w:rsidR="00F80359" w:rsidRDefault="00FE78E8" w:rsidP="00F80359">
            <w:r>
              <w:t>AWOR</w:t>
            </w:r>
          </w:p>
        </w:tc>
        <w:tc>
          <w:tcPr>
            <w:tcW w:w="1501" w:type="dxa"/>
          </w:tcPr>
          <w:p w:rsidR="00F80359" w:rsidRDefault="00FE78E8" w:rsidP="00F80359">
            <w:r>
              <w:t>AWOR</w:t>
            </w:r>
            <w:bookmarkStart w:id="0" w:name="_GoBack"/>
            <w:bookmarkEnd w:id="0"/>
          </w:p>
        </w:tc>
        <w:tc>
          <w:tcPr>
            <w:tcW w:w="4434" w:type="dxa"/>
          </w:tcPr>
          <w:p w:rsidR="00F80359" w:rsidRDefault="00F80359" w:rsidP="00F80359">
            <w:r>
              <w:t>Addresses basics of professional development, but more analysis needed.</w:t>
            </w:r>
          </w:p>
          <w:p w:rsidR="00F80359" w:rsidRDefault="00F80359" w:rsidP="00F80359"/>
          <w:p w:rsidR="00F80359" w:rsidRDefault="00F80359" w:rsidP="00F80359">
            <w:r>
              <w:t>Analysis does not directly discuss the evidence provided.</w:t>
            </w:r>
          </w:p>
        </w:tc>
      </w:tr>
      <w:tr w:rsidR="00AC5518" w:rsidRPr="00823434" w:rsidTr="00EB2442">
        <w:tc>
          <w:tcPr>
            <w:tcW w:w="323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AA156F" w:rsidP="008B6986">
            <w:pPr>
              <w:rPr>
                <w:color w:val="C4BC96" w:themeColor="background2" w:themeShade="BF"/>
                <w:sz w:val="20"/>
                <w:szCs w:val="20"/>
              </w:rPr>
            </w:pPr>
            <w:r>
              <w:rPr>
                <w:color w:val="C4BC96" w:themeColor="background2" w:themeShade="BF"/>
                <w:sz w:val="20"/>
                <w:szCs w:val="20"/>
              </w:rPr>
              <w:t>N/A</w:t>
            </w:r>
          </w:p>
        </w:tc>
      </w:tr>
      <w:tr w:rsidR="00A82C95" w:rsidRPr="00823434" w:rsidTr="00EB2442">
        <w:tc>
          <w:tcPr>
            <w:tcW w:w="3235" w:type="dxa"/>
          </w:tcPr>
          <w:p w:rsidR="00A82C95" w:rsidRPr="00EB2442" w:rsidRDefault="00A82C95" w:rsidP="00A82C95">
            <w:pPr>
              <w:rPr>
                <w:sz w:val="20"/>
                <w:szCs w:val="20"/>
              </w:rPr>
            </w:pPr>
            <w:r w:rsidRPr="00EB2442">
              <w:rPr>
                <w:sz w:val="20"/>
                <w:szCs w:val="20"/>
              </w:rPr>
              <w:t>10. How have past CIPs contributed to success?</w:t>
            </w:r>
          </w:p>
        </w:tc>
        <w:tc>
          <w:tcPr>
            <w:tcW w:w="1710" w:type="dxa"/>
          </w:tcPr>
          <w:p w:rsidR="00A82C95" w:rsidRDefault="00A82C95" w:rsidP="00A82C95">
            <w:r>
              <w:t>AWOR</w:t>
            </w:r>
          </w:p>
        </w:tc>
        <w:tc>
          <w:tcPr>
            <w:tcW w:w="1620" w:type="dxa"/>
          </w:tcPr>
          <w:p w:rsidR="00A82C95" w:rsidRDefault="00A82C95" w:rsidP="00A82C95">
            <w:r>
              <w:t>AWOR</w:t>
            </w:r>
          </w:p>
        </w:tc>
        <w:tc>
          <w:tcPr>
            <w:tcW w:w="1890" w:type="dxa"/>
          </w:tcPr>
          <w:p w:rsidR="00A82C95" w:rsidRDefault="00A82C95" w:rsidP="00A82C95">
            <w:r>
              <w:t>AWR</w:t>
            </w:r>
          </w:p>
        </w:tc>
        <w:tc>
          <w:tcPr>
            <w:tcW w:w="1501" w:type="dxa"/>
          </w:tcPr>
          <w:p w:rsidR="00A82C95" w:rsidRDefault="00A82C95" w:rsidP="00A82C95">
            <w:r>
              <w:t>AWOR</w:t>
            </w:r>
          </w:p>
        </w:tc>
        <w:tc>
          <w:tcPr>
            <w:tcW w:w="4434" w:type="dxa"/>
          </w:tcPr>
          <w:p w:rsidR="00A82C95" w:rsidRPr="00A82C95" w:rsidRDefault="00A82C95" w:rsidP="00A82C95">
            <w:r>
              <w:t>A</w:t>
            </w:r>
            <w:r w:rsidRPr="00A82C95">
              <w:t>ddresses both aspects of the prompt, describing CIP-driven improvements in program outcomes (enrollment, retention) and student performance (RPSGT exam pass rates, clinical evaluation).</w:t>
            </w:r>
          </w:p>
          <w:p w:rsidR="00A82C95" w:rsidRPr="00A82C95" w:rsidRDefault="00A82C95" w:rsidP="00A82C95"/>
          <w:p w:rsidR="00A82C95" w:rsidRPr="00A82C95" w:rsidRDefault="00A82C95" w:rsidP="00A82C95">
            <w:r>
              <w:t>E</w:t>
            </w:r>
            <w:r w:rsidRPr="00A82C95">
              <w:t xml:space="preserve">vidence </w:t>
            </w:r>
            <w:r>
              <w:t xml:space="preserve">provided in Appendix D. </w:t>
            </w:r>
            <w:r w:rsidRPr="00A82C95">
              <w:t>They mention data sources like RPSGT pass rates, employer feedback, and graduate surveys used to inform improvements.</w:t>
            </w:r>
          </w:p>
          <w:p w:rsidR="00A82C95" w:rsidRPr="00A82C95" w:rsidRDefault="00A82C95" w:rsidP="00A82C95"/>
          <w:p w:rsidR="00A82C95" w:rsidRPr="00A82C95" w:rsidRDefault="00A82C95" w:rsidP="00A82C95">
            <w:r>
              <w:t>E</w:t>
            </w:r>
            <w:r w:rsidRPr="00A82C95">
              <w:t>xplains how CIP influenced enrollment and retention through recruitment strategies and interview process.</w:t>
            </w:r>
            <w:r>
              <w:t xml:space="preserve"> D</w:t>
            </w:r>
            <w:r w:rsidRPr="00A82C95">
              <w:t>escribe</w:t>
            </w:r>
            <w:r>
              <w:t>s</w:t>
            </w:r>
            <w:r w:rsidRPr="00A82C95">
              <w:t xml:space="preserve"> refining student performance evaluation in critical areas but don't directly connect it to specific PLO improvements. While they mention considering employer and graduate feedback, </w:t>
            </w:r>
            <w:r>
              <w:t xml:space="preserve">could use </w:t>
            </w:r>
            <w:r w:rsidRPr="00A82C95">
              <w:t>specific examples of how this feedback led to curricular or service change</w:t>
            </w:r>
            <w:r>
              <w:t>s</w:t>
            </w:r>
            <w:r w:rsidRPr="00A82C95">
              <w:t>.</w:t>
            </w:r>
            <w:r>
              <w:t xml:space="preserve"> C</w:t>
            </w:r>
            <w:r w:rsidRPr="00A82C95">
              <w:t xml:space="preserve">onnection between CIP and its impact on program </w:t>
            </w:r>
            <w:r w:rsidRPr="00A82C95">
              <w:lastRenderedPageBreak/>
              <w:t>outcomes is clear for enrollment and retention</w:t>
            </w:r>
            <w:r>
              <w:t xml:space="preserve"> but </w:t>
            </w:r>
            <w:r w:rsidRPr="00A82C95">
              <w:t xml:space="preserve">link between CIP and improvements in student performance related to PLOs </w:t>
            </w:r>
            <w:r>
              <w:t>could use</w:t>
            </w:r>
            <w:r w:rsidRPr="00A82C95">
              <w:t xml:space="preserve"> more details or specific examples.</w:t>
            </w:r>
          </w:p>
        </w:tc>
      </w:tr>
      <w:tr w:rsidR="002A0E7E" w:rsidRPr="00823434" w:rsidTr="00EB2442">
        <w:tc>
          <w:tcPr>
            <w:tcW w:w="3235" w:type="dxa"/>
          </w:tcPr>
          <w:p w:rsidR="002A0E7E" w:rsidRPr="00EB2442" w:rsidRDefault="002A0E7E" w:rsidP="002A0E7E">
            <w:pPr>
              <w:rPr>
                <w:sz w:val="20"/>
                <w:szCs w:val="20"/>
              </w:rPr>
            </w:pPr>
            <w:r w:rsidRPr="00EB2442">
              <w:rPr>
                <w:sz w:val="20"/>
                <w:szCs w:val="20"/>
              </w:rPr>
              <w:lastRenderedPageBreak/>
              <w:t>11.  How will program evaluate its success?</w:t>
            </w:r>
          </w:p>
        </w:tc>
        <w:tc>
          <w:tcPr>
            <w:tcW w:w="1710" w:type="dxa"/>
          </w:tcPr>
          <w:p w:rsidR="002A0E7E" w:rsidRDefault="002A0E7E" w:rsidP="002A0E7E">
            <w:r>
              <w:t>AWR</w:t>
            </w:r>
          </w:p>
        </w:tc>
        <w:tc>
          <w:tcPr>
            <w:tcW w:w="1620" w:type="dxa"/>
          </w:tcPr>
          <w:p w:rsidR="002A0E7E" w:rsidRDefault="008E583C" w:rsidP="002A0E7E">
            <w:r>
              <w:t>AW</w:t>
            </w:r>
            <w:r w:rsidR="002A0E7E">
              <w:t>RR</w:t>
            </w:r>
          </w:p>
        </w:tc>
        <w:tc>
          <w:tcPr>
            <w:tcW w:w="1890" w:type="dxa"/>
          </w:tcPr>
          <w:p w:rsidR="002A0E7E" w:rsidRDefault="002A0E7E" w:rsidP="002A0E7E">
            <w:r>
              <w:t>AWRR</w:t>
            </w:r>
          </w:p>
        </w:tc>
        <w:tc>
          <w:tcPr>
            <w:tcW w:w="1501" w:type="dxa"/>
          </w:tcPr>
          <w:p w:rsidR="002A0E7E" w:rsidRDefault="002A0E7E" w:rsidP="002A0E7E">
            <w:r>
              <w:t>AWRR</w:t>
            </w:r>
          </w:p>
        </w:tc>
        <w:tc>
          <w:tcPr>
            <w:tcW w:w="4434" w:type="dxa"/>
          </w:tcPr>
          <w:p w:rsidR="002A0E7E" w:rsidRDefault="002A0E7E" w:rsidP="002A0E7E">
            <w:r>
              <w:t>A</w:t>
            </w:r>
            <w:r w:rsidRPr="00A82C95">
              <w:t xml:space="preserve">ddresses </w:t>
            </w:r>
            <w:r>
              <w:t xml:space="preserve">all </w:t>
            </w:r>
            <w:r w:rsidRPr="00A82C95">
              <w:t>aspects of the prompt,</w:t>
            </w:r>
            <w:r>
              <w:t xml:space="preserve"> but could be significantly more thorough.  I</w:t>
            </w:r>
            <w:r w:rsidRPr="002A0E7E">
              <w:t xml:space="preserve">dentifies some strengths but focuses primarily on one area for improvement (RPSGT exam pass rate). </w:t>
            </w:r>
            <w:r>
              <w:t>D</w:t>
            </w:r>
            <w:r w:rsidRPr="002A0E7E">
              <w:t>oesn't fully address weaknesses identified previously or provide comprehensive plan to capitalize on strengths.</w:t>
            </w:r>
          </w:p>
          <w:p w:rsidR="002A0E7E" w:rsidRDefault="002A0E7E" w:rsidP="002A0E7E"/>
          <w:p w:rsidR="002A0E7E" w:rsidRDefault="002A0E7E" w:rsidP="002A0E7E">
            <w:r>
              <w:t>M</w:t>
            </w:r>
            <w:r w:rsidRPr="002A0E7E">
              <w:t>entions positive feedback and exceptional lab resources</w:t>
            </w:r>
            <w:r>
              <w:t xml:space="preserve"> but doesn’t</w:t>
            </w:r>
            <w:r w:rsidRPr="002A0E7E">
              <w:t xml:space="preserve"> elaborate on specifics of the feedback or quantify the quality of lab resources.</w:t>
            </w:r>
            <w:r>
              <w:t xml:space="preserve"> Documentation would be helpful.</w:t>
            </w:r>
          </w:p>
          <w:p w:rsidR="002A0E7E" w:rsidRDefault="002A0E7E" w:rsidP="002A0E7E"/>
          <w:p w:rsidR="002A0E7E" w:rsidRDefault="002A0E7E" w:rsidP="002A0E7E">
            <w:r>
              <w:t>A</w:t>
            </w:r>
            <w:r w:rsidRPr="002A0E7E">
              <w:t xml:space="preserve">nalysis is limited. </w:t>
            </w:r>
            <w:r>
              <w:t>T</w:t>
            </w:r>
            <w:r w:rsidRPr="002A0E7E">
              <w:t>hey acknowledge need to improve RPSGT pass rates,</w:t>
            </w:r>
            <w:r>
              <w:t xml:space="preserve"> but</w:t>
            </w:r>
            <w:r w:rsidRPr="002A0E7E">
              <w:t xml:space="preserve"> lack details on how to capitalize on program strengths or address weaknesses identified previously. </w:t>
            </w:r>
            <w:r>
              <w:t>P</w:t>
            </w:r>
            <w:r w:rsidRPr="002A0E7E">
              <w:t>lanned curriculum modifications based on exam data are not explained.</w:t>
            </w:r>
          </w:p>
          <w:p w:rsidR="002A0E7E" w:rsidRPr="00823434" w:rsidRDefault="002A0E7E" w:rsidP="002A0E7E">
            <w:pPr>
              <w:rPr>
                <w:sz w:val="20"/>
                <w:szCs w:val="20"/>
              </w:rPr>
            </w:pPr>
          </w:p>
        </w:tc>
      </w:tr>
      <w:tr w:rsidR="002A0E7E" w:rsidRPr="00823434" w:rsidTr="00EB2442">
        <w:trPr>
          <w:trHeight w:val="680"/>
        </w:trPr>
        <w:tc>
          <w:tcPr>
            <w:tcW w:w="3235" w:type="dxa"/>
          </w:tcPr>
          <w:p w:rsidR="002A0E7E" w:rsidRPr="00EB2442" w:rsidRDefault="002A0E7E" w:rsidP="002A0E7E">
            <w:pPr>
              <w:ind w:left="-30"/>
              <w:rPr>
                <w:sz w:val="20"/>
                <w:szCs w:val="20"/>
              </w:rPr>
            </w:pPr>
            <w:r w:rsidRPr="00EB2442">
              <w:rPr>
                <w:sz w:val="20"/>
                <w:szCs w:val="20"/>
              </w:rPr>
              <w:t>12. Future Continuous Improvement Plan (CIP)</w:t>
            </w:r>
          </w:p>
        </w:tc>
        <w:tc>
          <w:tcPr>
            <w:tcW w:w="1710" w:type="dxa"/>
          </w:tcPr>
          <w:p w:rsidR="002A0E7E" w:rsidRPr="00823434" w:rsidRDefault="002E65E1" w:rsidP="002A0E7E">
            <w:pPr>
              <w:rPr>
                <w:sz w:val="20"/>
                <w:szCs w:val="20"/>
              </w:rPr>
            </w:pPr>
            <w:r>
              <w:t>AWR</w:t>
            </w:r>
          </w:p>
        </w:tc>
        <w:tc>
          <w:tcPr>
            <w:tcW w:w="1620" w:type="dxa"/>
            <w:shd w:val="clear" w:color="auto" w:fill="C4BC96" w:themeFill="background2" w:themeFillShade="BF"/>
          </w:tcPr>
          <w:p w:rsidR="002A0E7E" w:rsidRPr="008A3AFC" w:rsidRDefault="002A0E7E" w:rsidP="002A0E7E">
            <w:pPr>
              <w:rPr>
                <w:color w:val="C4BC96" w:themeColor="background2" w:themeShade="BF"/>
                <w:sz w:val="20"/>
                <w:szCs w:val="20"/>
              </w:rPr>
            </w:pPr>
          </w:p>
        </w:tc>
        <w:tc>
          <w:tcPr>
            <w:tcW w:w="1890" w:type="dxa"/>
            <w:shd w:val="clear" w:color="auto" w:fill="C4BC96" w:themeFill="background2" w:themeFillShade="BF"/>
          </w:tcPr>
          <w:p w:rsidR="002A0E7E" w:rsidRPr="008A3AFC" w:rsidRDefault="002A0E7E" w:rsidP="002A0E7E">
            <w:pPr>
              <w:rPr>
                <w:color w:val="C4BC96" w:themeColor="background2" w:themeShade="BF"/>
                <w:sz w:val="20"/>
                <w:szCs w:val="20"/>
              </w:rPr>
            </w:pPr>
          </w:p>
        </w:tc>
        <w:tc>
          <w:tcPr>
            <w:tcW w:w="1501" w:type="dxa"/>
          </w:tcPr>
          <w:p w:rsidR="002A0E7E" w:rsidRPr="00823434" w:rsidRDefault="002E65E1" w:rsidP="002A0E7E">
            <w:pPr>
              <w:rPr>
                <w:sz w:val="20"/>
                <w:szCs w:val="20"/>
              </w:rPr>
            </w:pPr>
            <w:r>
              <w:t>AWR</w:t>
            </w:r>
          </w:p>
        </w:tc>
        <w:tc>
          <w:tcPr>
            <w:tcW w:w="4434" w:type="dxa"/>
          </w:tcPr>
          <w:p w:rsidR="002A0E7E" w:rsidRPr="00823434" w:rsidRDefault="002E65E1" w:rsidP="002A0E7E">
            <w:pPr>
              <w:rPr>
                <w:sz w:val="20"/>
                <w:szCs w:val="20"/>
              </w:rPr>
            </w:pPr>
            <w:r>
              <w:t>Completed tables as required, but b</w:t>
            </w:r>
            <w:r w:rsidRPr="002E65E1">
              <w:t>ased on</w:t>
            </w:r>
            <w:r>
              <w:t xml:space="preserve"> the above, should be more thorough.</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rPr>
      </w:pPr>
    </w:p>
    <w:p w:rsidR="00101233" w:rsidRPr="00101233" w:rsidRDefault="00101233" w:rsidP="00101233">
      <w:pPr>
        <w:rPr>
          <w:rFonts w:ascii="Calibri" w:eastAsia="Calibri" w:hAnsi="Calibri"/>
          <w:b/>
          <w:sz w:val="28"/>
          <w:szCs w:val="28"/>
        </w:rPr>
      </w:pPr>
      <w:r w:rsidRPr="00101233">
        <w:rPr>
          <w:rFonts w:ascii="Calibri" w:eastAsia="Calibri" w:hAnsi="Calibri"/>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rsidTr="00553946">
        <w:tc>
          <w:tcPr>
            <w:tcW w:w="3116" w:type="dxa"/>
          </w:tcPr>
          <w:p w:rsidR="000C516F" w:rsidRPr="00865A44" w:rsidRDefault="000C516F" w:rsidP="007C4434">
            <w:pPr>
              <w:jc w:val="center"/>
            </w:pPr>
            <w:r w:rsidRPr="00865A44">
              <w:rPr>
                <w:rFonts w:ascii="Calibri" w:eastAsia="Calibri" w:hAnsi="Calibri"/>
              </w:rPr>
              <w:fldChar w:fldCharType="begin">
                <w:ffData>
                  <w:name w:val="Check3"/>
                  <w:enabled/>
                  <w:calcOnExit w:val="0"/>
                  <w:checkBox>
                    <w:sizeAuto/>
                    <w:default w:val="0"/>
                  </w:checkBox>
                </w:ffData>
              </w:fldChar>
            </w:r>
            <w:r w:rsidRPr="00865A44">
              <w:rPr>
                <w:rFonts w:ascii="Calibri" w:eastAsia="Calibri" w:hAnsi="Calibri"/>
              </w:rPr>
              <w:instrText xml:space="preserve"> FORMCHECKBOX </w:instrText>
            </w:r>
            <w:r w:rsidR="00FE78E8">
              <w:rPr>
                <w:rFonts w:ascii="Calibri" w:eastAsia="Calibri" w:hAnsi="Calibri"/>
              </w:rPr>
            </w:r>
            <w:r w:rsidR="00FE78E8">
              <w:rPr>
                <w:rFonts w:ascii="Calibri" w:eastAsia="Calibri" w:hAnsi="Calibri"/>
              </w:rPr>
              <w:fldChar w:fldCharType="separate"/>
            </w:r>
            <w:r w:rsidRPr="00865A44">
              <w:rPr>
                <w:rFonts w:ascii="Calibri" w:eastAsia="Calibri" w:hAnsi="Calibri"/>
              </w:rPr>
              <w:fldChar w:fldCharType="end"/>
            </w:r>
            <w:r w:rsidRPr="00865A44">
              <w:rPr>
                <w:rFonts w:ascii="Calibri" w:eastAsia="Calibri" w:hAnsi="Calibri"/>
              </w:rPr>
              <w:t xml:space="preserve"> Accepted Without Recommendations</w:t>
            </w:r>
          </w:p>
        </w:tc>
        <w:tc>
          <w:tcPr>
            <w:tcW w:w="3117" w:type="dxa"/>
          </w:tcPr>
          <w:p w:rsidR="000C516F" w:rsidRPr="00865A44" w:rsidRDefault="002E65E1" w:rsidP="007C4434">
            <w:pPr>
              <w:jc w:val="center"/>
            </w:pPr>
            <w:r>
              <w:rPr>
                <w:rFonts w:ascii="Calibri" w:eastAsia="Calibri" w:hAnsi="Calibri"/>
              </w:rPr>
              <w:t>X</w:t>
            </w:r>
            <w:r w:rsidR="000C516F">
              <w:rPr>
                <w:rFonts w:ascii="Calibri" w:eastAsia="Calibri" w:hAnsi="Calibri"/>
              </w:rPr>
              <w:fldChar w:fldCharType="begin">
                <w:ffData>
                  <w:name w:val="Check3"/>
                  <w:enabled/>
                  <w:calcOnExit w:val="0"/>
                  <w:checkBox>
                    <w:sizeAuto/>
                    <w:default w:val="0"/>
                  </w:checkBox>
                </w:ffData>
              </w:fldChar>
            </w:r>
            <w:bookmarkStart w:id="1" w:name="Check3"/>
            <w:r w:rsidR="000C516F">
              <w:rPr>
                <w:rFonts w:ascii="Calibri" w:eastAsia="Calibri" w:hAnsi="Calibri"/>
              </w:rPr>
              <w:instrText xml:space="preserve"> FORMCHECKBOX </w:instrText>
            </w:r>
            <w:r w:rsidR="00FE78E8">
              <w:rPr>
                <w:rFonts w:ascii="Calibri" w:eastAsia="Calibri" w:hAnsi="Calibri"/>
              </w:rPr>
            </w:r>
            <w:r w:rsidR="00FE78E8">
              <w:rPr>
                <w:rFonts w:ascii="Calibri" w:eastAsia="Calibri" w:hAnsi="Calibri"/>
              </w:rPr>
              <w:fldChar w:fldCharType="separate"/>
            </w:r>
            <w:r w:rsidR="000C516F">
              <w:rPr>
                <w:rFonts w:ascii="Calibri" w:eastAsia="Calibri" w:hAnsi="Calibri"/>
              </w:rPr>
              <w:fldChar w:fldCharType="end"/>
            </w:r>
            <w:bookmarkEnd w:id="1"/>
            <w:r w:rsidR="000C516F" w:rsidRPr="00865A44">
              <w:rPr>
                <w:rFonts w:ascii="Calibri" w:eastAsia="Calibri" w:hAnsi="Calibri"/>
              </w:rPr>
              <w:t xml:space="preserve"> </w:t>
            </w:r>
            <w:r w:rsidR="000C516F">
              <w:rPr>
                <w:rFonts w:ascii="Calibri" w:eastAsia="Calibri" w:hAnsi="Calibri"/>
              </w:rPr>
              <w:t>Accepted W</w:t>
            </w:r>
            <w:r w:rsidR="000C516F" w:rsidRPr="00865A44">
              <w:rPr>
                <w:rFonts w:ascii="Calibri" w:eastAsia="Calibri" w:hAnsi="Calibri"/>
              </w:rPr>
              <w:t>ith Recommendations</w:t>
            </w:r>
          </w:p>
        </w:tc>
        <w:tc>
          <w:tcPr>
            <w:tcW w:w="3117" w:type="dxa"/>
          </w:tcPr>
          <w:p w:rsidR="000C516F" w:rsidRPr="00865A44" w:rsidRDefault="000C516F" w:rsidP="007C4434">
            <w:pPr>
              <w:jc w:val="center"/>
              <w:rPr>
                <w:rFonts w:ascii="Calibri" w:eastAsia="Calibri" w:hAnsi="Calibri"/>
              </w:rPr>
            </w:pPr>
            <w:r>
              <w:rPr>
                <w:rFonts w:ascii="Calibri" w:eastAsia="Calibri" w:hAnsi="Calibri"/>
              </w:rPr>
              <w:fldChar w:fldCharType="begin">
                <w:ffData>
                  <w:name w:val="Check3"/>
                  <w:enabled/>
                  <w:calcOnExit w:val="0"/>
                  <w:checkBox>
                    <w:sizeAuto/>
                    <w:default w:val="0"/>
                  </w:checkBox>
                </w:ffData>
              </w:fldChar>
            </w:r>
            <w:r>
              <w:rPr>
                <w:rFonts w:ascii="Calibri" w:eastAsia="Calibri" w:hAnsi="Calibri"/>
              </w:rPr>
              <w:instrText xml:space="preserve"> FORMCHECKBOX </w:instrText>
            </w:r>
            <w:r w:rsidR="00FE78E8">
              <w:rPr>
                <w:rFonts w:ascii="Calibri" w:eastAsia="Calibri" w:hAnsi="Calibri"/>
              </w:rPr>
            </w:r>
            <w:r w:rsidR="00FE78E8">
              <w:rPr>
                <w:rFonts w:ascii="Calibri" w:eastAsia="Calibri" w:hAnsi="Calibri"/>
              </w:rPr>
              <w:fldChar w:fldCharType="separate"/>
            </w:r>
            <w:r>
              <w:rPr>
                <w:rFonts w:ascii="Calibri" w:eastAsia="Calibri" w:hAnsi="Calibri"/>
              </w:rPr>
              <w:fldChar w:fldCharType="end"/>
            </w:r>
            <w:r>
              <w:rPr>
                <w:rFonts w:ascii="Calibri" w:eastAsia="Calibri" w:hAnsi="Calibri"/>
              </w:rPr>
              <w:t xml:space="preserve"> Accepted with Required Recommendations</w:t>
            </w:r>
          </w:p>
        </w:tc>
        <w:tc>
          <w:tcPr>
            <w:tcW w:w="3117" w:type="dxa"/>
          </w:tcPr>
          <w:p w:rsidR="000C516F" w:rsidRPr="00865A44" w:rsidRDefault="000C516F" w:rsidP="007C4434">
            <w:pPr>
              <w:jc w:val="center"/>
            </w:pPr>
            <w:r w:rsidRPr="00865A44">
              <w:rPr>
                <w:rFonts w:ascii="Calibri" w:eastAsia="Calibri" w:hAnsi="Calibri"/>
              </w:rPr>
              <w:fldChar w:fldCharType="begin">
                <w:ffData>
                  <w:name w:val="Check3"/>
                  <w:enabled/>
                  <w:calcOnExit w:val="0"/>
                  <w:checkBox>
                    <w:sizeAuto/>
                    <w:default w:val="0"/>
                  </w:checkBox>
                </w:ffData>
              </w:fldChar>
            </w:r>
            <w:r w:rsidRPr="00865A44">
              <w:rPr>
                <w:rFonts w:ascii="Calibri" w:eastAsia="Calibri" w:hAnsi="Calibri"/>
              </w:rPr>
              <w:instrText xml:space="preserve"> FORMCHECKBOX </w:instrText>
            </w:r>
            <w:r w:rsidR="00FE78E8">
              <w:rPr>
                <w:rFonts w:ascii="Calibri" w:eastAsia="Calibri" w:hAnsi="Calibri"/>
              </w:rPr>
            </w:r>
            <w:r w:rsidR="00FE78E8">
              <w:rPr>
                <w:rFonts w:ascii="Calibri" w:eastAsia="Calibri" w:hAnsi="Calibri"/>
              </w:rPr>
              <w:fldChar w:fldCharType="separate"/>
            </w:r>
            <w:r w:rsidRPr="00865A44">
              <w:rPr>
                <w:rFonts w:ascii="Calibri" w:eastAsia="Calibri" w:hAnsi="Calibri"/>
              </w:rPr>
              <w:fldChar w:fldCharType="end"/>
            </w:r>
            <w:r w:rsidRPr="00865A44">
              <w:rPr>
                <w:rFonts w:ascii="Calibri" w:eastAsia="Calibri" w:hAnsi="Calibri"/>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101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" strokecolor="black [3213]">
                <v:textbox>
                  <w:txbxContent>
                    <w:p w:rsidR="00101233" w:rsidRDefault="00101233"/>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8"/>
      <w:footerReference w:type="default" r:id="rId9"/>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9A8" w:rsidRDefault="007B49A8" w:rsidP="00B01512">
      <w:r>
        <w:separator/>
      </w:r>
    </w:p>
  </w:endnote>
  <w:endnote w:type="continuationSeparator" w:id="0">
    <w:p w:rsidR="007B49A8" w:rsidRDefault="007B49A8" w:rsidP="00B0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9A8" w:rsidRDefault="007B49A8" w:rsidP="00B01512">
      <w:r>
        <w:separator/>
      </w:r>
    </w:p>
  </w:footnote>
  <w:footnote w:type="continuationSeparator" w:id="0">
    <w:p w:rsidR="007B49A8" w:rsidRDefault="007B49A8" w:rsidP="00B0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rPr>
    </w:pPr>
    <w:r w:rsidRPr="00AC5518">
      <w:rPr>
        <w:b/>
      </w:rPr>
      <w:t>WORKFORCE</w:t>
    </w:r>
    <w:r w:rsidR="00FE3878" w:rsidRPr="00AC5518">
      <w:rPr>
        <w:b/>
      </w:rPr>
      <w:t xml:space="preserve"> </w:t>
    </w:r>
    <w:r w:rsidR="00B341D4" w:rsidRPr="00AC5518">
      <w:rPr>
        <w:b/>
      </w:rPr>
      <w:t xml:space="preserve">PROGRAM </w:t>
    </w:r>
    <w:r w:rsidR="00FE3878" w:rsidRPr="00AC5518">
      <w:rPr>
        <w:b/>
      </w:rPr>
      <w:t>REVIEW</w:t>
    </w:r>
    <w:r w:rsidRPr="00AC5518">
      <w:rPr>
        <w:b/>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w:t>
    </w:r>
    <w:r w:rsidR="00977767" w:rsidRPr="00977767">
      <w:rPr>
        <w:b/>
        <w:u w:val="single"/>
      </w:rPr>
      <w:t>Polysomnographic Technology</w:t>
    </w:r>
    <w:r w:rsidR="00977767">
      <w:rPr>
        <w:b/>
      </w:rPr>
      <w:t xml:space="preserve"> </w:t>
    </w:r>
    <w:r w:rsidRPr="003A1B2E">
      <w:rPr>
        <w:b/>
      </w:rPr>
      <w:t>________________________         Reviewer</w:t>
    </w:r>
    <w:r w:rsidR="003936B8" w:rsidRPr="003A1B2E">
      <w:rPr>
        <w:b/>
      </w:rPr>
      <w:t>:</w:t>
    </w:r>
    <w:r w:rsidRPr="003A1B2E">
      <w:rPr>
        <w:b/>
      </w:rPr>
      <w:t xml:space="preserve">  __</w:t>
    </w:r>
    <w:r w:rsidR="00977767" w:rsidRPr="00977767">
      <w:rPr>
        <w:b/>
        <w:u w:val="single"/>
      </w:rPr>
      <w:t>Ryan Rynbrandt</w:t>
    </w:r>
    <w:r w:rsidRPr="003A1B2E">
      <w:rPr>
        <w:b/>
      </w:rPr>
      <w:t>________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4088E"/>
    <w:multiLevelType w:val="multilevel"/>
    <w:tmpl w:val="A5E0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651E8"/>
    <w:rsid w:val="000755A3"/>
    <w:rsid w:val="000B2E80"/>
    <w:rsid w:val="000B370E"/>
    <w:rsid w:val="000C516F"/>
    <w:rsid w:val="000E34DD"/>
    <w:rsid w:val="00101233"/>
    <w:rsid w:val="00126303"/>
    <w:rsid w:val="001409AC"/>
    <w:rsid w:val="0016511D"/>
    <w:rsid w:val="00186620"/>
    <w:rsid w:val="001A7AFC"/>
    <w:rsid w:val="001C3C64"/>
    <w:rsid w:val="002049D6"/>
    <w:rsid w:val="002148CA"/>
    <w:rsid w:val="00221F1E"/>
    <w:rsid w:val="002479C9"/>
    <w:rsid w:val="002540F4"/>
    <w:rsid w:val="0029032F"/>
    <w:rsid w:val="002A0E7E"/>
    <w:rsid w:val="002A78FD"/>
    <w:rsid w:val="002E65E1"/>
    <w:rsid w:val="00307B68"/>
    <w:rsid w:val="003936B8"/>
    <w:rsid w:val="003A1B2E"/>
    <w:rsid w:val="003C319A"/>
    <w:rsid w:val="004A25E8"/>
    <w:rsid w:val="004A6DA5"/>
    <w:rsid w:val="00547213"/>
    <w:rsid w:val="00577F53"/>
    <w:rsid w:val="006031F5"/>
    <w:rsid w:val="00662651"/>
    <w:rsid w:val="0068640B"/>
    <w:rsid w:val="00686750"/>
    <w:rsid w:val="00695126"/>
    <w:rsid w:val="006C6334"/>
    <w:rsid w:val="006E4B69"/>
    <w:rsid w:val="006E7B2B"/>
    <w:rsid w:val="00727E36"/>
    <w:rsid w:val="00756D36"/>
    <w:rsid w:val="00757438"/>
    <w:rsid w:val="00785CEB"/>
    <w:rsid w:val="007930C0"/>
    <w:rsid w:val="007B49A8"/>
    <w:rsid w:val="007D1A57"/>
    <w:rsid w:val="007E308C"/>
    <w:rsid w:val="008032D0"/>
    <w:rsid w:val="00823434"/>
    <w:rsid w:val="0083136D"/>
    <w:rsid w:val="00852248"/>
    <w:rsid w:val="008904DE"/>
    <w:rsid w:val="00892A0E"/>
    <w:rsid w:val="008A3AFC"/>
    <w:rsid w:val="008B6986"/>
    <w:rsid w:val="008D7196"/>
    <w:rsid w:val="008E583C"/>
    <w:rsid w:val="009334D3"/>
    <w:rsid w:val="0094432D"/>
    <w:rsid w:val="00963794"/>
    <w:rsid w:val="00977767"/>
    <w:rsid w:val="00A16394"/>
    <w:rsid w:val="00A25E4B"/>
    <w:rsid w:val="00A26206"/>
    <w:rsid w:val="00A82C95"/>
    <w:rsid w:val="00A855B9"/>
    <w:rsid w:val="00A9154E"/>
    <w:rsid w:val="00A947C4"/>
    <w:rsid w:val="00AA156F"/>
    <w:rsid w:val="00AC5518"/>
    <w:rsid w:val="00AC5DCA"/>
    <w:rsid w:val="00B01512"/>
    <w:rsid w:val="00B200FD"/>
    <w:rsid w:val="00B341D4"/>
    <w:rsid w:val="00B65CEF"/>
    <w:rsid w:val="00BA08EC"/>
    <w:rsid w:val="00BB53E5"/>
    <w:rsid w:val="00BC599D"/>
    <w:rsid w:val="00BF0129"/>
    <w:rsid w:val="00BF5AAF"/>
    <w:rsid w:val="00C34898"/>
    <w:rsid w:val="00C51705"/>
    <w:rsid w:val="00C51FD1"/>
    <w:rsid w:val="00C61195"/>
    <w:rsid w:val="00C61BF0"/>
    <w:rsid w:val="00CC320D"/>
    <w:rsid w:val="00D463E8"/>
    <w:rsid w:val="00DA2668"/>
    <w:rsid w:val="00DA7AFA"/>
    <w:rsid w:val="00DC0417"/>
    <w:rsid w:val="00DC60CD"/>
    <w:rsid w:val="00DD73E4"/>
    <w:rsid w:val="00DF4042"/>
    <w:rsid w:val="00E23DB6"/>
    <w:rsid w:val="00EB2442"/>
    <w:rsid w:val="00EC5BB5"/>
    <w:rsid w:val="00EC5D1A"/>
    <w:rsid w:val="00F020C9"/>
    <w:rsid w:val="00F235D7"/>
    <w:rsid w:val="00F47C26"/>
    <w:rsid w:val="00F80359"/>
    <w:rsid w:val="00FA3296"/>
    <w:rsid w:val="00FE3878"/>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33DF1"/>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0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pPr>
  </w:style>
  <w:style w:type="character" w:customStyle="1" w:styleId="FooterChar">
    <w:name w:val="Footer Char"/>
    <w:basedOn w:val="DefaultParagraphFont"/>
    <w:link w:val="Footer"/>
    <w:uiPriority w:val="99"/>
    <w:rsid w:val="00B01512"/>
  </w:style>
  <w:style w:type="character" w:styleId="Hyperlink">
    <w:name w:val="Hyperlink"/>
    <w:basedOn w:val="DefaultParagraphFont"/>
    <w:uiPriority w:val="99"/>
    <w:unhideWhenUsed/>
    <w:rsid w:val="007E308C"/>
    <w:rPr>
      <w:color w:val="0000FF" w:themeColor="hyperlink"/>
      <w:u w:val="single"/>
    </w:rPr>
  </w:style>
  <w:style w:type="character" w:styleId="UnresolvedMention">
    <w:name w:val="Unresolved Mention"/>
    <w:basedOn w:val="DefaultParagraphFont"/>
    <w:uiPriority w:val="99"/>
    <w:semiHidden/>
    <w:unhideWhenUsed/>
    <w:rsid w:val="007E3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166">
      <w:bodyDiv w:val="1"/>
      <w:marLeft w:val="0"/>
      <w:marRight w:val="0"/>
      <w:marTop w:val="0"/>
      <w:marBottom w:val="0"/>
      <w:divBdr>
        <w:top w:val="none" w:sz="0" w:space="0" w:color="auto"/>
        <w:left w:val="none" w:sz="0" w:space="0" w:color="auto"/>
        <w:bottom w:val="none" w:sz="0" w:space="0" w:color="auto"/>
        <w:right w:val="none" w:sz="0" w:space="0" w:color="auto"/>
      </w:divBdr>
    </w:div>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1729644793">
      <w:bodyDiv w:val="1"/>
      <w:marLeft w:val="0"/>
      <w:marRight w:val="0"/>
      <w:marTop w:val="0"/>
      <w:marBottom w:val="0"/>
      <w:divBdr>
        <w:top w:val="none" w:sz="0" w:space="0" w:color="auto"/>
        <w:left w:val="none" w:sz="0" w:space="0" w:color="auto"/>
        <w:bottom w:val="none" w:sz="0" w:space="0" w:color="auto"/>
        <w:right w:val="none" w:sz="0" w:space="0" w:color="auto"/>
      </w:divBdr>
      <w:divsChild>
        <w:div w:id="452333385">
          <w:marLeft w:val="0"/>
          <w:marRight w:val="0"/>
          <w:marTop w:val="0"/>
          <w:marBottom w:val="0"/>
          <w:divBdr>
            <w:top w:val="none" w:sz="0" w:space="0" w:color="auto"/>
            <w:left w:val="none" w:sz="0" w:space="0" w:color="auto"/>
            <w:bottom w:val="none" w:sz="0" w:space="0" w:color="auto"/>
            <w:right w:val="none" w:sz="0" w:space="0" w:color="auto"/>
          </w:divBdr>
          <w:divsChild>
            <w:div w:id="1853446001">
              <w:marLeft w:val="0"/>
              <w:marRight w:val="0"/>
              <w:marTop w:val="0"/>
              <w:marBottom w:val="0"/>
              <w:divBdr>
                <w:top w:val="none" w:sz="0" w:space="0" w:color="auto"/>
                <w:left w:val="none" w:sz="0" w:space="0" w:color="auto"/>
                <w:bottom w:val="none" w:sz="0" w:space="0" w:color="auto"/>
                <w:right w:val="none" w:sz="0" w:space="0" w:color="auto"/>
              </w:divBdr>
              <w:divsChild>
                <w:div w:id="1569534996">
                  <w:marLeft w:val="0"/>
                  <w:marRight w:val="0"/>
                  <w:marTop w:val="0"/>
                  <w:marBottom w:val="0"/>
                  <w:divBdr>
                    <w:top w:val="none" w:sz="0" w:space="0" w:color="auto"/>
                    <w:left w:val="none" w:sz="0" w:space="0" w:color="auto"/>
                    <w:bottom w:val="none" w:sz="0" w:space="0" w:color="auto"/>
                    <w:right w:val="none" w:sz="0" w:space="0" w:color="auto"/>
                  </w:divBdr>
                  <w:divsChild>
                    <w:div w:id="1337459288">
                      <w:marLeft w:val="0"/>
                      <w:marRight w:val="0"/>
                      <w:marTop w:val="0"/>
                      <w:marBottom w:val="0"/>
                      <w:divBdr>
                        <w:top w:val="none" w:sz="0" w:space="0" w:color="auto"/>
                        <w:left w:val="none" w:sz="0" w:space="0" w:color="auto"/>
                        <w:bottom w:val="none" w:sz="0" w:space="0" w:color="auto"/>
                        <w:right w:val="none" w:sz="0" w:space="0" w:color="auto"/>
                      </w:divBdr>
                      <w:divsChild>
                        <w:div w:id="1408308481">
                          <w:marLeft w:val="0"/>
                          <w:marRight w:val="0"/>
                          <w:marTop w:val="0"/>
                          <w:marBottom w:val="0"/>
                          <w:divBdr>
                            <w:top w:val="none" w:sz="0" w:space="0" w:color="auto"/>
                            <w:left w:val="none" w:sz="0" w:space="0" w:color="auto"/>
                            <w:bottom w:val="none" w:sz="0" w:space="0" w:color="auto"/>
                            <w:right w:val="none" w:sz="0" w:space="0" w:color="auto"/>
                          </w:divBdr>
                          <w:divsChild>
                            <w:div w:id="799297894">
                              <w:marLeft w:val="0"/>
                              <w:marRight w:val="0"/>
                              <w:marTop w:val="0"/>
                              <w:marBottom w:val="0"/>
                              <w:divBdr>
                                <w:top w:val="none" w:sz="0" w:space="0" w:color="auto"/>
                                <w:left w:val="none" w:sz="0" w:space="0" w:color="auto"/>
                                <w:bottom w:val="none" w:sz="0" w:space="0" w:color="auto"/>
                                <w:right w:val="none" w:sz="0" w:space="0" w:color="auto"/>
                              </w:divBdr>
                              <w:divsChild>
                                <w:div w:id="535116362">
                                  <w:marLeft w:val="0"/>
                                  <w:marRight w:val="0"/>
                                  <w:marTop w:val="0"/>
                                  <w:marBottom w:val="0"/>
                                  <w:divBdr>
                                    <w:top w:val="none" w:sz="0" w:space="0" w:color="auto"/>
                                    <w:left w:val="none" w:sz="0" w:space="0" w:color="auto"/>
                                    <w:bottom w:val="none" w:sz="0" w:space="0" w:color="auto"/>
                                    <w:right w:val="none" w:sz="0" w:space="0" w:color="auto"/>
                                  </w:divBdr>
                                  <w:divsChild>
                                    <w:div w:id="1656909100">
                                      <w:marLeft w:val="0"/>
                                      <w:marRight w:val="0"/>
                                      <w:marTop w:val="0"/>
                                      <w:marBottom w:val="0"/>
                                      <w:divBdr>
                                        <w:top w:val="none" w:sz="0" w:space="0" w:color="auto"/>
                                        <w:left w:val="none" w:sz="0" w:space="0" w:color="auto"/>
                                        <w:bottom w:val="none" w:sz="0" w:space="0" w:color="auto"/>
                                        <w:right w:val="none" w:sz="0" w:space="0" w:color="auto"/>
                                      </w:divBdr>
                                      <w:divsChild>
                                        <w:div w:id="1047217436">
                                          <w:marLeft w:val="0"/>
                                          <w:marRight w:val="0"/>
                                          <w:marTop w:val="0"/>
                                          <w:marBottom w:val="0"/>
                                          <w:divBdr>
                                            <w:top w:val="none" w:sz="0" w:space="0" w:color="auto"/>
                                            <w:left w:val="none" w:sz="0" w:space="0" w:color="auto"/>
                                            <w:bottom w:val="none" w:sz="0" w:space="0" w:color="auto"/>
                                            <w:right w:val="none" w:sz="0" w:space="0" w:color="auto"/>
                                          </w:divBdr>
                                          <w:divsChild>
                                            <w:div w:id="342517582">
                                              <w:marLeft w:val="0"/>
                                              <w:marRight w:val="0"/>
                                              <w:marTop w:val="0"/>
                                              <w:marBottom w:val="0"/>
                                              <w:divBdr>
                                                <w:top w:val="none" w:sz="0" w:space="0" w:color="auto"/>
                                                <w:left w:val="none" w:sz="0" w:space="0" w:color="auto"/>
                                                <w:bottom w:val="none" w:sz="0" w:space="0" w:color="auto"/>
                                                <w:right w:val="none" w:sz="0" w:space="0" w:color="auto"/>
                                              </w:divBdr>
                                              <w:divsChild>
                                                <w:div w:id="1681660423">
                                                  <w:marLeft w:val="0"/>
                                                  <w:marRight w:val="0"/>
                                                  <w:marTop w:val="0"/>
                                                  <w:marBottom w:val="0"/>
                                                  <w:divBdr>
                                                    <w:top w:val="none" w:sz="0" w:space="0" w:color="auto"/>
                                                    <w:left w:val="none" w:sz="0" w:space="0" w:color="auto"/>
                                                    <w:bottom w:val="none" w:sz="0" w:space="0" w:color="auto"/>
                                                    <w:right w:val="none" w:sz="0" w:space="0" w:color="auto"/>
                                                  </w:divBdr>
                                                  <w:divsChild>
                                                    <w:div w:id="1951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3396">
                                      <w:marLeft w:val="0"/>
                                      <w:marRight w:val="0"/>
                                      <w:marTop w:val="0"/>
                                      <w:marBottom w:val="0"/>
                                      <w:divBdr>
                                        <w:top w:val="none" w:sz="0" w:space="0" w:color="auto"/>
                                        <w:left w:val="none" w:sz="0" w:space="0" w:color="auto"/>
                                        <w:bottom w:val="none" w:sz="0" w:space="0" w:color="auto"/>
                                        <w:right w:val="none" w:sz="0" w:space="0" w:color="auto"/>
                                      </w:divBdr>
                                      <w:divsChild>
                                        <w:div w:id="1038507137">
                                          <w:marLeft w:val="0"/>
                                          <w:marRight w:val="0"/>
                                          <w:marTop w:val="240"/>
                                          <w:marBottom w:val="120"/>
                                          <w:divBdr>
                                            <w:top w:val="none" w:sz="0" w:space="0" w:color="auto"/>
                                            <w:left w:val="none" w:sz="0" w:space="0" w:color="auto"/>
                                            <w:bottom w:val="none" w:sz="0" w:space="0" w:color="auto"/>
                                            <w:right w:val="none" w:sz="0" w:space="0" w:color="auto"/>
                                          </w:divBdr>
                                          <w:divsChild>
                                            <w:div w:id="1298335412">
                                              <w:marLeft w:val="0"/>
                                              <w:marRight w:val="0"/>
                                              <w:marTop w:val="0"/>
                                              <w:marBottom w:val="0"/>
                                              <w:divBdr>
                                                <w:top w:val="none" w:sz="0" w:space="0" w:color="auto"/>
                                                <w:left w:val="none" w:sz="0" w:space="0" w:color="auto"/>
                                                <w:bottom w:val="none" w:sz="0" w:space="0" w:color="auto"/>
                                                <w:right w:val="none" w:sz="0" w:space="0" w:color="auto"/>
                                              </w:divBdr>
                                              <w:divsChild>
                                                <w:div w:id="13809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2297">
                      <w:marLeft w:val="0"/>
                      <w:marRight w:val="0"/>
                      <w:marTop w:val="0"/>
                      <w:marBottom w:val="0"/>
                      <w:divBdr>
                        <w:top w:val="none" w:sz="0" w:space="0" w:color="auto"/>
                        <w:left w:val="none" w:sz="0" w:space="0" w:color="auto"/>
                        <w:bottom w:val="none" w:sz="0" w:space="0" w:color="auto"/>
                        <w:right w:val="none" w:sz="0" w:space="0" w:color="auto"/>
                      </w:divBdr>
                      <w:divsChild>
                        <w:div w:id="1994484667">
                          <w:marLeft w:val="0"/>
                          <w:marRight w:val="0"/>
                          <w:marTop w:val="0"/>
                          <w:marBottom w:val="0"/>
                          <w:divBdr>
                            <w:top w:val="none" w:sz="0" w:space="0" w:color="auto"/>
                            <w:left w:val="none" w:sz="0" w:space="0" w:color="auto"/>
                            <w:bottom w:val="none" w:sz="0" w:space="0" w:color="auto"/>
                            <w:right w:val="none" w:sz="0" w:space="0" w:color="auto"/>
                          </w:divBdr>
                          <w:divsChild>
                            <w:div w:id="705716721">
                              <w:marLeft w:val="0"/>
                              <w:marRight w:val="0"/>
                              <w:marTop w:val="0"/>
                              <w:marBottom w:val="0"/>
                              <w:divBdr>
                                <w:top w:val="none" w:sz="0" w:space="0" w:color="auto"/>
                                <w:left w:val="none" w:sz="0" w:space="0" w:color="auto"/>
                                <w:bottom w:val="none" w:sz="0" w:space="0" w:color="auto"/>
                                <w:right w:val="none" w:sz="0" w:space="0" w:color="auto"/>
                              </w:divBdr>
                              <w:divsChild>
                                <w:div w:id="393816665">
                                  <w:marLeft w:val="0"/>
                                  <w:marRight w:val="0"/>
                                  <w:marTop w:val="0"/>
                                  <w:marBottom w:val="0"/>
                                  <w:divBdr>
                                    <w:top w:val="none" w:sz="0" w:space="0" w:color="auto"/>
                                    <w:left w:val="none" w:sz="0" w:space="0" w:color="auto"/>
                                    <w:bottom w:val="none" w:sz="0" w:space="0" w:color="auto"/>
                                    <w:right w:val="none" w:sz="0" w:space="0" w:color="auto"/>
                                  </w:divBdr>
                                  <w:divsChild>
                                    <w:div w:id="1291984281">
                                      <w:marLeft w:val="0"/>
                                      <w:marRight w:val="0"/>
                                      <w:marTop w:val="0"/>
                                      <w:marBottom w:val="0"/>
                                      <w:divBdr>
                                        <w:top w:val="none" w:sz="0" w:space="0" w:color="auto"/>
                                        <w:left w:val="none" w:sz="0" w:space="0" w:color="auto"/>
                                        <w:bottom w:val="none" w:sz="0" w:space="0" w:color="auto"/>
                                        <w:right w:val="none" w:sz="0" w:space="0" w:color="auto"/>
                                      </w:divBdr>
                                      <w:divsChild>
                                        <w:div w:id="21328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5007">
                                  <w:marLeft w:val="0"/>
                                  <w:marRight w:val="0"/>
                                  <w:marTop w:val="0"/>
                                  <w:marBottom w:val="0"/>
                                  <w:divBdr>
                                    <w:top w:val="none" w:sz="0" w:space="0" w:color="auto"/>
                                    <w:left w:val="none" w:sz="0" w:space="0" w:color="auto"/>
                                    <w:bottom w:val="none" w:sz="0" w:space="0" w:color="auto"/>
                                    <w:right w:val="none" w:sz="0" w:space="0" w:color="auto"/>
                                  </w:divBdr>
                                  <w:divsChild>
                                    <w:div w:id="491872681">
                                      <w:marLeft w:val="0"/>
                                      <w:marRight w:val="0"/>
                                      <w:marTop w:val="0"/>
                                      <w:marBottom w:val="0"/>
                                      <w:divBdr>
                                        <w:top w:val="none" w:sz="0" w:space="0" w:color="auto"/>
                                        <w:left w:val="none" w:sz="0" w:space="0" w:color="auto"/>
                                        <w:bottom w:val="none" w:sz="0" w:space="0" w:color="auto"/>
                                        <w:right w:val="none" w:sz="0" w:space="0" w:color="auto"/>
                                      </w:divBdr>
                                    </w:div>
                                  </w:divsChild>
                                </w:div>
                                <w:div w:id="1012805950">
                                  <w:marLeft w:val="0"/>
                                  <w:marRight w:val="0"/>
                                  <w:marTop w:val="0"/>
                                  <w:marBottom w:val="60"/>
                                  <w:divBdr>
                                    <w:top w:val="none" w:sz="0" w:space="0" w:color="auto"/>
                                    <w:left w:val="none" w:sz="0" w:space="0" w:color="auto"/>
                                    <w:bottom w:val="none" w:sz="0" w:space="0" w:color="auto"/>
                                    <w:right w:val="none" w:sz="0" w:space="0" w:color="auto"/>
                                  </w:divBdr>
                                  <w:divsChild>
                                    <w:div w:id="968365085">
                                      <w:marLeft w:val="0"/>
                                      <w:marRight w:val="0"/>
                                      <w:marTop w:val="0"/>
                                      <w:marBottom w:val="0"/>
                                      <w:divBdr>
                                        <w:top w:val="none" w:sz="0" w:space="0" w:color="auto"/>
                                        <w:left w:val="none" w:sz="0" w:space="0" w:color="auto"/>
                                        <w:bottom w:val="none" w:sz="0" w:space="0" w:color="auto"/>
                                        <w:right w:val="none" w:sz="0" w:space="0" w:color="auto"/>
                                      </w:divBdr>
                                      <w:divsChild>
                                        <w:div w:id="1955819464">
                                          <w:marLeft w:val="0"/>
                                          <w:marRight w:val="0"/>
                                          <w:marTop w:val="0"/>
                                          <w:marBottom w:val="0"/>
                                          <w:divBdr>
                                            <w:top w:val="none" w:sz="0" w:space="0" w:color="auto"/>
                                            <w:left w:val="none" w:sz="0" w:space="0" w:color="auto"/>
                                            <w:bottom w:val="none" w:sz="0" w:space="0" w:color="auto"/>
                                            <w:right w:val="none" w:sz="0" w:space="0" w:color="auto"/>
                                          </w:divBdr>
                                        </w:div>
                                        <w:div w:id="2130927788">
                                          <w:marLeft w:val="0"/>
                                          <w:marRight w:val="0"/>
                                          <w:marTop w:val="0"/>
                                          <w:marBottom w:val="0"/>
                                          <w:divBdr>
                                            <w:top w:val="none" w:sz="0" w:space="0" w:color="auto"/>
                                            <w:left w:val="none" w:sz="0" w:space="0" w:color="auto"/>
                                            <w:bottom w:val="none" w:sz="0" w:space="0" w:color="auto"/>
                                            <w:right w:val="none" w:sz="0" w:space="0" w:color="auto"/>
                                          </w:divBdr>
                                        </w:div>
                                        <w:div w:id="14738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D964-660D-426C-B3C1-D191BDFE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987</Words>
  <Characters>6043</Characters>
  <Application>Microsoft Office Word</Application>
  <DocSecurity>0</DocSecurity>
  <Lines>278</Lines>
  <Paragraphs>92</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Alicia Huppe</cp:lastModifiedBy>
  <cp:revision>5</cp:revision>
  <cp:lastPrinted>2014-09-17T18:56:00Z</cp:lastPrinted>
  <dcterms:created xsi:type="dcterms:W3CDTF">2024-03-26T15:41:00Z</dcterms:created>
  <dcterms:modified xsi:type="dcterms:W3CDTF">2024-03-27T14:42:00Z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c63eb45beac5afa8fa143f210bb59cb9531282075a5c3047ce0c4da9039fa6db</vt:lpwstr>
  </property>
</Properties>
</file>