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66369" w14:textId="77777777" w:rsidR="000C642A" w:rsidRPr="0075232C" w:rsidRDefault="000C642A"/>
    <w:tbl>
      <w:tblPr>
        <w:tblStyle w:val="TableGrid"/>
        <w:tblpPr w:leftFromText="180" w:rightFromText="180" w:vertAnchor="text" w:tblpX="-95" w:tblpY="1"/>
        <w:tblOverlap w:val="never"/>
        <w:tblW w:w="14305" w:type="dxa"/>
        <w:tblLook w:val="04A0" w:firstRow="1" w:lastRow="0" w:firstColumn="1" w:lastColumn="0" w:noHBand="0" w:noVBand="1"/>
      </w:tblPr>
      <w:tblGrid>
        <w:gridCol w:w="3505"/>
        <w:gridCol w:w="1350"/>
        <w:gridCol w:w="1170"/>
        <w:gridCol w:w="1710"/>
        <w:gridCol w:w="1620"/>
        <w:gridCol w:w="4950"/>
      </w:tblGrid>
      <w:tr w:rsidR="00F32CB1" w14:paraId="6C0504A7" w14:textId="77777777" w:rsidTr="00A526A4">
        <w:tc>
          <w:tcPr>
            <w:tcW w:w="3505" w:type="dxa"/>
            <w:shd w:val="clear" w:color="auto" w:fill="808080" w:themeFill="background1" w:themeFillShade="80"/>
            <w:vAlign w:val="center"/>
          </w:tcPr>
          <w:p w14:paraId="5470B957" w14:textId="77777777" w:rsidR="00F32CB1" w:rsidRDefault="00F32CB1" w:rsidP="00757411">
            <w:pPr>
              <w:ind w:left="180" w:hanging="180"/>
              <w:jc w:val="center"/>
            </w:pPr>
          </w:p>
        </w:tc>
        <w:tc>
          <w:tcPr>
            <w:tcW w:w="1350" w:type="dxa"/>
            <w:vAlign w:val="center"/>
          </w:tcPr>
          <w:p w14:paraId="038324BD" w14:textId="77777777" w:rsidR="00F32CB1" w:rsidRPr="00087C33" w:rsidRDefault="00F32CB1" w:rsidP="00757411">
            <w:pPr>
              <w:jc w:val="center"/>
              <w:rPr>
                <w:b/>
              </w:rPr>
            </w:pPr>
            <w:r w:rsidRPr="00087C33">
              <w:rPr>
                <w:b/>
              </w:rPr>
              <w:t>Re</w:t>
            </w:r>
            <w:r>
              <w:rPr>
                <w:b/>
              </w:rPr>
              <w:t>sponsive to the Component</w:t>
            </w:r>
          </w:p>
        </w:tc>
        <w:tc>
          <w:tcPr>
            <w:tcW w:w="1170" w:type="dxa"/>
            <w:vAlign w:val="center"/>
          </w:tcPr>
          <w:p w14:paraId="592509E0" w14:textId="77777777" w:rsidR="00F32CB1" w:rsidRPr="00087C33" w:rsidRDefault="00F32CB1" w:rsidP="00757411">
            <w:pPr>
              <w:jc w:val="center"/>
              <w:rPr>
                <w:b/>
              </w:rPr>
            </w:pPr>
            <w:r>
              <w:rPr>
                <w:b/>
              </w:rPr>
              <w:t>Evidence</w:t>
            </w:r>
          </w:p>
        </w:tc>
        <w:tc>
          <w:tcPr>
            <w:tcW w:w="1710" w:type="dxa"/>
            <w:vAlign w:val="center"/>
          </w:tcPr>
          <w:p w14:paraId="7CF8BE72" w14:textId="77777777" w:rsidR="00F32CB1" w:rsidRPr="00FA2847" w:rsidRDefault="00F32CB1" w:rsidP="00757411">
            <w:pPr>
              <w:jc w:val="center"/>
              <w:rPr>
                <w:b/>
                <w:sz w:val="20"/>
                <w:szCs w:val="20"/>
              </w:rPr>
            </w:pPr>
            <w:r w:rsidRPr="00FA2847">
              <w:rPr>
                <w:b/>
                <w:sz w:val="20"/>
                <w:szCs w:val="20"/>
              </w:rPr>
              <w:t>Analysis: Explanation/ Rationale of Assertions Supported by Evidence</w:t>
            </w:r>
          </w:p>
        </w:tc>
        <w:tc>
          <w:tcPr>
            <w:tcW w:w="1620" w:type="dxa"/>
            <w:vAlign w:val="center"/>
          </w:tcPr>
          <w:p w14:paraId="6DAF2714" w14:textId="77777777" w:rsidR="00F32CB1" w:rsidRDefault="00F32CB1" w:rsidP="00757411">
            <w:pPr>
              <w:jc w:val="center"/>
              <w:rPr>
                <w:b/>
              </w:rPr>
            </w:pPr>
            <w:r w:rsidRPr="00087C33">
              <w:rPr>
                <w:b/>
              </w:rPr>
              <w:t>Overall</w:t>
            </w:r>
          </w:p>
          <w:p w14:paraId="737B1A48" w14:textId="77777777" w:rsidR="00F32CB1" w:rsidRPr="00087C33" w:rsidRDefault="00F32CB1" w:rsidP="00757411">
            <w:pPr>
              <w:jc w:val="center"/>
              <w:rPr>
                <w:b/>
              </w:rPr>
            </w:pPr>
            <w:r w:rsidRPr="00087C33">
              <w:rPr>
                <w:b/>
              </w:rPr>
              <w:t>Judgment</w:t>
            </w:r>
          </w:p>
        </w:tc>
        <w:tc>
          <w:tcPr>
            <w:tcW w:w="4950" w:type="dxa"/>
            <w:vAlign w:val="center"/>
          </w:tcPr>
          <w:p w14:paraId="54AC2B46" w14:textId="77777777" w:rsidR="00F32CB1" w:rsidRPr="00087C33" w:rsidRDefault="00F32CB1" w:rsidP="00757411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F32CB1" w14:paraId="726DD28E" w14:textId="77777777" w:rsidTr="00A526A4">
        <w:tc>
          <w:tcPr>
            <w:tcW w:w="3505" w:type="dxa"/>
          </w:tcPr>
          <w:p w14:paraId="17906DE9" w14:textId="77777777" w:rsidR="00F32CB1" w:rsidRDefault="00F32CB1" w:rsidP="00757411">
            <w:pPr>
              <w:ind w:left="180" w:hanging="180"/>
            </w:pPr>
            <w:r>
              <w:t>1. What does the unit do?</w:t>
            </w:r>
          </w:p>
          <w:p w14:paraId="1AD54536" w14:textId="77777777" w:rsidR="00F32CB1" w:rsidRDefault="00F32CB1" w:rsidP="00757411">
            <w:pPr>
              <w:ind w:left="180" w:hanging="180"/>
            </w:pPr>
          </w:p>
        </w:tc>
        <w:tc>
          <w:tcPr>
            <w:tcW w:w="1350" w:type="dxa"/>
          </w:tcPr>
          <w:p w14:paraId="02CCD9A0" w14:textId="5EF62F22" w:rsidR="00F32CB1" w:rsidRDefault="00035C05" w:rsidP="00757411">
            <w:r>
              <w:t>AWOR</w:t>
            </w:r>
          </w:p>
        </w:tc>
        <w:tc>
          <w:tcPr>
            <w:tcW w:w="1170" w:type="dxa"/>
            <w:shd w:val="clear" w:color="auto" w:fill="808080" w:themeFill="background1" w:themeFillShade="80"/>
          </w:tcPr>
          <w:p w14:paraId="07C57AA9" w14:textId="77777777" w:rsidR="00F32CB1" w:rsidRDefault="00F32CB1" w:rsidP="00757411"/>
        </w:tc>
        <w:tc>
          <w:tcPr>
            <w:tcW w:w="1710" w:type="dxa"/>
            <w:shd w:val="clear" w:color="auto" w:fill="808080" w:themeFill="background1" w:themeFillShade="80"/>
          </w:tcPr>
          <w:p w14:paraId="3DFF6D54" w14:textId="77777777" w:rsidR="00F32CB1" w:rsidRDefault="00F32CB1" w:rsidP="00757411"/>
        </w:tc>
        <w:tc>
          <w:tcPr>
            <w:tcW w:w="1620" w:type="dxa"/>
          </w:tcPr>
          <w:p w14:paraId="0B120860" w14:textId="795F7AC7" w:rsidR="00F32CB1" w:rsidRDefault="00035C05" w:rsidP="00757411">
            <w:r>
              <w:t>AWOR</w:t>
            </w:r>
          </w:p>
        </w:tc>
        <w:tc>
          <w:tcPr>
            <w:tcW w:w="4950" w:type="dxa"/>
          </w:tcPr>
          <w:p w14:paraId="4DD7FF66" w14:textId="557518B2" w:rsidR="00F32CB1" w:rsidRDefault="00035C05" w:rsidP="00757411">
            <w:r>
              <w:t xml:space="preserve">Prompt is answered thoroughly </w:t>
            </w:r>
            <w:r w:rsidR="00CA576D">
              <w:t>with references and examples provided.</w:t>
            </w:r>
            <w:r w:rsidR="00FB41AC">
              <w:t xml:space="preserve"> (10)</w:t>
            </w:r>
          </w:p>
        </w:tc>
      </w:tr>
      <w:tr w:rsidR="00035C05" w14:paraId="18E35679" w14:textId="77777777" w:rsidTr="00FA2847">
        <w:tc>
          <w:tcPr>
            <w:tcW w:w="3505" w:type="dxa"/>
          </w:tcPr>
          <w:p w14:paraId="7A337E01" w14:textId="77777777" w:rsidR="00035C05" w:rsidRDefault="00035C05" w:rsidP="00035C05">
            <w:pPr>
              <w:ind w:left="180" w:hanging="180"/>
            </w:pPr>
            <w:r>
              <w:t>2. What is the unit’s relationship</w:t>
            </w:r>
            <w:r w:rsidRPr="00604216">
              <w:t xml:space="preserve"> </w:t>
            </w:r>
            <w:r>
              <w:t>to the college mission &amp; strategic plan?</w:t>
            </w:r>
          </w:p>
        </w:tc>
        <w:tc>
          <w:tcPr>
            <w:tcW w:w="1350" w:type="dxa"/>
          </w:tcPr>
          <w:p w14:paraId="2475E646" w14:textId="7A16AF04" w:rsidR="00035C05" w:rsidRDefault="00035C05" w:rsidP="00035C05">
            <w:r>
              <w:t>AWOR</w:t>
            </w:r>
          </w:p>
        </w:tc>
        <w:tc>
          <w:tcPr>
            <w:tcW w:w="1170" w:type="dxa"/>
          </w:tcPr>
          <w:p w14:paraId="5A0FD349" w14:textId="58862295" w:rsidR="00035C05" w:rsidRDefault="00035C05" w:rsidP="00035C05">
            <w:r w:rsidRPr="008E2D20">
              <w:t>AWOR</w:t>
            </w:r>
          </w:p>
        </w:tc>
        <w:tc>
          <w:tcPr>
            <w:tcW w:w="1710" w:type="dxa"/>
          </w:tcPr>
          <w:p w14:paraId="2C2978C7" w14:textId="2CE98DF7" w:rsidR="00035C05" w:rsidRDefault="00035C05" w:rsidP="00035C05">
            <w:r w:rsidRPr="008E2D20">
              <w:t>AWOR</w:t>
            </w:r>
          </w:p>
        </w:tc>
        <w:tc>
          <w:tcPr>
            <w:tcW w:w="1620" w:type="dxa"/>
          </w:tcPr>
          <w:p w14:paraId="4E0B3B4A" w14:textId="16F7FC6C" w:rsidR="00035C05" w:rsidRDefault="00035C05" w:rsidP="00035C05">
            <w:r w:rsidRPr="008E2D20">
              <w:t>AWOR</w:t>
            </w:r>
          </w:p>
        </w:tc>
        <w:tc>
          <w:tcPr>
            <w:tcW w:w="4950" w:type="dxa"/>
          </w:tcPr>
          <w:p w14:paraId="1FEE6D49" w14:textId="17862B8F" w:rsidR="00035C05" w:rsidRDefault="005F1CD1" w:rsidP="00035C05">
            <w:r>
              <w:t xml:space="preserve">Prompt is answered </w:t>
            </w:r>
            <w:r w:rsidR="00111976">
              <w:t>complete</w:t>
            </w:r>
            <w:r>
              <w:t>ly with references</w:t>
            </w:r>
            <w:r w:rsidR="00111976">
              <w:t>,</w:t>
            </w:r>
            <w:r>
              <w:t xml:space="preserve"> examples</w:t>
            </w:r>
            <w:r w:rsidR="00111976">
              <w:t>, and supporting data</w:t>
            </w:r>
            <w:r>
              <w:t xml:space="preserve"> provided.</w:t>
            </w:r>
            <w:r w:rsidR="00FB41AC">
              <w:t xml:space="preserve"> (1</w:t>
            </w:r>
            <w:r w:rsidR="00223D3B">
              <w:t>0</w:t>
            </w:r>
            <w:r w:rsidR="00FB41AC">
              <w:t>)</w:t>
            </w:r>
          </w:p>
        </w:tc>
      </w:tr>
      <w:tr w:rsidR="00035C05" w14:paraId="79FEF311" w14:textId="77777777" w:rsidTr="00FA2847">
        <w:tc>
          <w:tcPr>
            <w:tcW w:w="3505" w:type="dxa"/>
          </w:tcPr>
          <w:p w14:paraId="64792856" w14:textId="77777777" w:rsidR="00035C05" w:rsidRDefault="00035C05" w:rsidP="00035C05">
            <w:pPr>
              <w:ind w:left="180" w:hanging="180"/>
            </w:pPr>
            <w:r>
              <w:t>3. Why are the unit processes done?</w:t>
            </w:r>
          </w:p>
        </w:tc>
        <w:tc>
          <w:tcPr>
            <w:tcW w:w="1350" w:type="dxa"/>
          </w:tcPr>
          <w:p w14:paraId="170D56EB" w14:textId="449F9FD1" w:rsidR="00035C05" w:rsidRDefault="00035C05" w:rsidP="00035C05">
            <w:r w:rsidRPr="005F1ADE">
              <w:t>AWOR</w:t>
            </w:r>
          </w:p>
        </w:tc>
        <w:tc>
          <w:tcPr>
            <w:tcW w:w="1170" w:type="dxa"/>
          </w:tcPr>
          <w:p w14:paraId="75CC2985" w14:textId="3AC2F37C" w:rsidR="00035C05" w:rsidRDefault="00035C05" w:rsidP="00035C05">
            <w:r w:rsidRPr="005F1ADE">
              <w:t>AWOR</w:t>
            </w:r>
          </w:p>
        </w:tc>
        <w:tc>
          <w:tcPr>
            <w:tcW w:w="1710" w:type="dxa"/>
          </w:tcPr>
          <w:p w14:paraId="3461BD57" w14:textId="25CB28F3" w:rsidR="00035C05" w:rsidRDefault="00035C05" w:rsidP="00035C05">
            <w:r w:rsidRPr="005F1ADE">
              <w:t>AWR</w:t>
            </w:r>
          </w:p>
        </w:tc>
        <w:tc>
          <w:tcPr>
            <w:tcW w:w="1620" w:type="dxa"/>
          </w:tcPr>
          <w:p w14:paraId="24A98D58" w14:textId="7EB8C7DF" w:rsidR="00035C05" w:rsidRDefault="00035C05" w:rsidP="00035C05">
            <w:r w:rsidRPr="005F1ADE">
              <w:t>AWOR</w:t>
            </w:r>
          </w:p>
        </w:tc>
        <w:tc>
          <w:tcPr>
            <w:tcW w:w="4950" w:type="dxa"/>
          </w:tcPr>
          <w:p w14:paraId="17A04189" w14:textId="68671DBE" w:rsidR="00035C05" w:rsidRDefault="005F34DB" w:rsidP="00035C05">
            <w:r>
              <w:t>Thorough response, providing a compelling argument for the necessity of the department.</w:t>
            </w:r>
            <w:r w:rsidR="00D17A25">
              <w:t xml:space="preserve">  Potential growth from benchmarking is noted; but specific examples of plans or possibilities are not included.</w:t>
            </w:r>
            <w:r w:rsidR="00FB41AC">
              <w:t xml:space="preserve"> (</w:t>
            </w:r>
            <w:r w:rsidR="00223D3B">
              <w:t>9</w:t>
            </w:r>
            <w:r w:rsidR="00FB41AC">
              <w:t>)</w:t>
            </w:r>
          </w:p>
        </w:tc>
      </w:tr>
      <w:tr w:rsidR="00D41F30" w14:paraId="2EFF2E0C" w14:textId="77777777" w:rsidTr="00FA2847">
        <w:tc>
          <w:tcPr>
            <w:tcW w:w="3505" w:type="dxa"/>
          </w:tcPr>
          <w:p w14:paraId="44BFCC43" w14:textId="77777777" w:rsidR="00D41F30" w:rsidRDefault="00D41F30" w:rsidP="00D41F30">
            <w:pPr>
              <w:ind w:left="180" w:hanging="180"/>
            </w:pPr>
            <w:r>
              <w:t>4. How does the unit impact student outcomes?</w:t>
            </w:r>
          </w:p>
        </w:tc>
        <w:tc>
          <w:tcPr>
            <w:tcW w:w="1350" w:type="dxa"/>
          </w:tcPr>
          <w:p w14:paraId="0D0BEE33" w14:textId="7402E756" w:rsidR="00D41F30" w:rsidRDefault="00D41F30" w:rsidP="00D41F30">
            <w:r>
              <w:t>AWOR</w:t>
            </w:r>
          </w:p>
        </w:tc>
        <w:tc>
          <w:tcPr>
            <w:tcW w:w="1170" w:type="dxa"/>
          </w:tcPr>
          <w:p w14:paraId="1DBDD56C" w14:textId="6CC0A10B" w:rsidR="00D41F30" w:rsidRDefault="00D41F30" w:rsidP="00D41F30">
            <w:r w:rsidRPr="00A1202E">
              <w:t>AWR</w:t>
            </w:r>
          </w:p>
        </w:tc>
        <w:tc>
          <w:tcPr>
            <w:tcW w:w="1710" w:type="dxa"/>
          </w:tcPr>
          <w:p w14:paraId="16B1613C" w14:textId="60A7CABE" w:rsidR="00D41F30" w:rsidRDefault="00D41F30" w:rsidP="00D41F30">
            <w:r w:rsidRPr="00A1202E">
              <w:t>AWOR</w:t>
            </w:r>
          </w:p>
        </w:tc>
        <w:tc>
          <w:tcPr>
            <w:tcW w:w="1620" w:type="dxa"/>
          </w:tcPr>
          <w:p w14:paraId="2DEBFBD6" w14:textId="2019C0B4" w:rsidR="00D41F30" w:rsidRDefault="00D41F30" w:rsidP="00D41F30">
            <w:r w:rsidRPr="00A1202E">
              <w:t>AWOR</w:t>
            </w:r>
          </w:p>
        </w:tc>
        <w:tc>
          <w:tcPr>
            <w:tcW w:w="4950" w:type="dxa"/>
          </w:tcPr>
          <w:p w14:paraId="51290DB1" w14:textId="68577CC2" w:rsidR="00D41F30" w:rsidRDefault="00D41F30" w:rsidP="00D41F30">
            <w:r>
              <w:t xml:space="preserve">Questions answered completely, with specific examples and data </w:t>
            </w:r>
            <w:r w:rsidR="001E6AA7">
              <w:t>provided.</w:t>
            </w:r>
            <w:r w:rsidR="00FB41AC">
              <w:t xml:space="preserve"> </w:t>
            </w:r>
            <w:r w:rsidR="00D17A25">
              <w:t xml:space="preserve">  Reference article is from 2005.  This topic should be researched often, so a more current reference is likely available. </w:t>
            </w:r>
            <w:r w:rsidR="00FB41AC">
              <w:t>(</w:t>
            </w:r>
            <w:r w:rsidR="00223D3B">
              <w:t>9</w:t>
            </w:r>
            <w:r w:rsidR="00FB41AC">
              <w:t>)</w:t>
            </w:r>
          </w:p>
        </w:tc>
      </w:tr>
      <w:tr w:rsidR="006752B3" w14:paraId="11B7AEC7" w14:textId="77777777" w:rsidTr="00FA2847">
        <w:tc>
          <w:tcPr>
            <w:tcW w:w="3505" w:type="dxa"/>
          </w:tcPr>
          <w:p w14:paraId="0E9647AC" w14:textId="77777777" w:rsidR="006752B3" w:rsidRDefault="006752B3" w:rsidP="006752B3">
            <w:pPr>
              <w:ind w:left="180" w:hanging="180"/>
            </w:pPr>
            <w:r>
              <w:t>5.  How effectively does the unit communicate?</w:t>
            </w:r>
          </w:p>
        </w:tc>
        <w:tc>
          <w:tcPr>
            <w:tcW w:w="1350" w:type="dxa"/>
            <w:shd w:val="clear" w:color="auto" w:fill="auto"/>
          </w:tcPr>
          <w:p w14:paraId="364845A3" w14:textId="5EC3C445" w:rsidR="006752B3" w:rsidRDefault="006752B3" w:rsidP="006752B3">
            <w:r>
              <w:t>AWOR</w:t>
            </w:r>
          </w:p>
        </w:tc>
        <w:tc>
          <w:tcPr>
            <w:tcW w:w="1170" w:type="dxa"/>
            <w:shd w:val="clear" w:color="auto" w:fill="auto"/>
          </w:tcPr>
          <w:p w14:paraId="0DA441E1" w14:textId="174D86A0" w:rsidR="006752B3" w:rsidRDefault="006752B3" w:rsidP="006752B3">
            <w:r w:rsidRPr="00A1202E">
              <w:t>AWOR</w:t>
            </w:r>
          </w:p>
        </w:tc>
        <w:tc>
          <w:tcPr>
            <w:tcW w:w="1710" w:type="dxa"/>
            <w:shd w:val="clear" w:color="auto" w:fill="auto"/>
          </w:tcPr>
          <w:p w14:paraId="71800909" w14:textId="14326FC2" w:rsidR="006752B3" w:rsidRDefault="006752B3" w:rsidP="006752B3">
            <w:r w:rsidRPr="00A1202E">
              <w:t>AWOR</w:t>
            </w:r>
          </w:p>
        </w:tc>
        <w:tc>
          <w:tcPr>
            <w:tcW w:w="1620" w:type="dxa"/>
            <w:shd w:val="clear" w:color="auto" w:fill="auto"/>
          </w:tcPr>
          <w:p w14:paraId="57E7963B" w14:textId="6DF631D3" w:rsidR="006752B3" w:rsidRDefault="006752B3" w:rsidP="006752B3">
            <w:r w:rsidRPr="00A1202E">
              <w:t>AWOR</w:t>
            </w:r>
          </w:p>
        </w:tc>
        <w:tc>
          <w:tcPr>
            <w:tcW w:w="4950" w:type="dxa"/>
          </w:tcPr>
          <w:p w14:paraId="6A7B27ED" w14:textId="3A2206E4" w:rsidR="006752B3" w:rsidRDefault="006752B3" w:rsidP="006752B3">
            <w:r>
              <w:t>Materials updated very recently, and frequently, multiple avenues utilized.  Evidence provided for suppositions.</w:t>
            </w:r>
            <w:r w:rsidR="00FB41AC">
              <w:t xml:space="preserve"> (1</w:t>
            </w:r>
            <w:r w:rsidR="00223D3B">
              <w:t>0</w:t>
            </w:r>
            <w:r w:rsidR="00FB41AC">
              <w:t>)</w:t>
            </w:r>
          </w:p>
        </w:tc>
      </w:tr>
      <w:tr w:rsidR="00072C9A" w14:paraId="6B2C9742" w14:textId="77777777" w:rsidTr="00FA2847">
        <w:tc>
          <w:tcPr>
            <w:tcW w:w="3505" w:type="dxa"/>
          </w:tcPr>
          <w:p w14:paraId="4EB8CF8D" w14:textId="77777777" w:rsidR="00072C9A" w:rsidRDefault="00072C9A" w:rsidP="00072C9A">
            <w:pPr>
              <w:ind w:left="180" w:hanging="180"/>
            </w:pPr>
            <w:r>
              <w:t>6. Does the unit build and leverage partnerships?</w:t>
            </w:r>
          </w:p>
        </w:tc>
        <w:tc>
          <w:tcPr>
            <w:tcW w:w="1350" w:type="dxa"/>
          </w:tcPr>
          <w:p w14:paraId="22FF2419" w14:textId="503489FC" w:rsidR="00072C9A" w:rsidRDefault="00072C9A" w:rsidP="00072C9A">
            <w:r>
              <w:t>AWOR</w:t>
            </w:r>
          </w:p>
        </w:tc>
        <w:tc>
          <w:tcPr>
            <w:tcW w:w="1170" w:type="dxa"/>
          </w:tcPr>
          <w:p w14:paraId="31189EB0" w14:textId="0A9E6288" w:rsidR="00072C9A" w:rsidRDefault="00072C9A" w:rsidP="00072C9A">
            <w:r w:rsidRPr="00A1202E">
              <w:t>AWOR</w:t>
            </w:r>
          </w:p>
        </w:tc>
        <w:tc>
          <w:tcPr>
            <w:tcW w:w="1710" w:type="dxa"/>
          </w:tcPr>
          <w:p w14:paraId="188C83FB" w14:textId="7936A55D" w:rsidR="00072C9A" w:rsidRDefault="00072C9A" w:rsidP="00072C9A">
            <w:r w:rsidRPr="00A1202E">
              <w:t>AWOR</w:t>
            </w:r>
          </w:p>
        </w:tc>
        <w:tc>
          <w:tcPr>
            <w:tcW w:w="1620" w:type="dxa"/>
          </w:tcPr>
          <w:p w14:paraId="61AFF6F1" w14:textId="4072D633" w:rsidR="00072C9A" w:rsidRDefault="00072C9A" w:rsidP="00072C9A">
            <w:r w:rsidRPr="00A1202E">
              <w:t>AWOR</w:t>
            </w:r>
          </w:p>
        </w:tc>
        <w:tc>
          <w:tcPr>
            <w:tcW w:w="4950" w:type="dxa"/>
          </w:tcPr>
          <w:p w14:paraId="36A175AF" w14:textId="320626A8" w:rsidR="00072C9A" w:rsidRDefault="00072C9A" w:rsidP="00072C9A">
            <w:r>
              <w:t>Multiple and varied continued partnerships listed, and explanations given.</w:t>
            </w:r>
            <w:r w:rsidR="00FB41AC">
              <w:t xml:space="preserve"> (1</w:t>
            </w:r>
            <w:r w:rsidR="00223D3B">
              <w:t>0</w:t>
            </w:r>
            <w:r w:rsidR="00FB41AC">
              <w:t>)</w:t>
            </w:r>
          </w:p>
        </w:tc>
      </w:tr>
      <w:tr w:rsidR="00072C9A" w14:paraId="39B8BB2E" w14:textId="77777777" w:rsidTr="00FA2847">
        <w:tc>
          <w:tcPr>
            <w:tcW w:w="3505" w:type="dxa"/>
          </w:tcPr>
          <w:p w14:paraId="28B3B344" w14:textId="77777777" w:rsidR="00072C9A" w:rsidRDefault="00072C9A" w:rsidP="00072C9A">
            <w:pPr>
              <w:ind w:left="180" w:hanging="180"/>
            </w:pPr>
            <w:r>
              <w:t>7. Are staff supported with professional development?</w:t>
            </w:r>
          </w:p>
        </w:tc>
        <w:tc>
          <w:tcPr>
            <w:tcW w:w="1350" w:type="dxa"/>
          </w:tcPr>
          <w:p w14:paraId="10F10DF3" w14:textId="1CC497BC" w:rsidR="00072C9A" w:rsidRDefault="00C369FE" w:rsidP="00072C9A">
            <w:r>
              <w:t>R</w:t>
            </w:r>
            <w:r w:rsidR="00621224">
              <w:t>R</w:t>
            </w:r>
          </w:p>
        </w:tc>
        <w:tc>
          <w:tcPr>
            <w:tcW w:w="1170" w:type="dxa"/>
          </w:tcPr>
          <w:p w14:paraId="0AB0D961" w14:textId="5A3EEBBD" w:rsidR="00072C9A" w:rsidRDefault="004E6C49" w:rsidP="00072C9A">
            <w:r>
              <w:t>AWRC</w:t>
            </w:r>
          </w:p>
        </w:tc>
        <w:tc>
          <w:tcPr>
            <w:tcW w:w="1710" w:type="dxa"/>
          </w:tcPr>
          <w:p w14:paraId="3D901742" w14:textId="144B7ABE" w:rsidR="00072C9A" w:rsidRDefault="00C369FE" w:rsidP="00072C9A">
            <w:r>
              <w:t>R</w:t>
            </w:r>
            <w:r w:rsidR="00006D60">
              <w:t>R</w:t>
            </w:r>
          </w:p>
        </w:tc>
        <w:tc>
          <w:tcPr>
            <w:tcW w:w="1620" w:type="dxa"/>
          </w:tcPr>
          <w:p w14:paraId="5BD92195" w14:textId="0988602F" w:rsidR="00072C9A" w:rsidRDefault="00C369FE" w:rsidP="00072C9A">
            <w:r>
              <w:t>RR</w:t>
            </w:r>
          </w:p>
        </w:tc>
        <w:tc>
          <w:tcPr>
            <w:tcW w:w="4950" w:type="dxa"/>
          </w:tcPr>
          <w:p w14:paraId="33EA2C78" w14:textId="47D57FE8" w:rsidR="00072C9A" w:rsidRDefault="000479FA" w:rsidP="00072C9A">
            <w:r>
              <w:t xml:space="preserve">This table appears to be filled out incorrectly, with </w:t>
            </w:r>
            <w:r w:rsidR="00010090">
              <w:t>education listed where PD goes and PD listed where “how is this valuable to the unit?” goes.  So, that the value to the unit column is essentially missing.</w:t>
            </w:r>
            <w:r w:rsidR="00B65BB9">
              <w:t xml:space="preserve"> (</w:t>
            </w:r>
            <w:r w:rsidR="00223D3B">
              <w:t>2</w:t>
            </w:r>
            <w:r w:rsidR="00B65BB9">
              <w:t>)</w:t>
            </w:r>
          </w:p>
        </w:tc>
      </w:tr>
      <w:tr w:rsidR="00072C9A" w14:paraId="080AFE5A" w14:textId="77777777" w:rsidTr="00A526A4">
        <w:tc>
          <w:tcPr>
            <w:tcW w:w="3505" w:type="dxa"/>
          </w:tcPr>
          <w:p w14:paraId="7EF1A767" w14:textId="77777777" w:rsidR="00072C9A" w:rsidRDefault="00072C9A" w:rsidP="00072C9A">
            <w:pPr>
              <w:ind w:left="180" w:hanging="180"/>
            </w:pPr>
            <w:r>
              <w:lastRenderedPageBreak/>
              <w:t>8. [Optional] Does the unit have sufficient facilities and equipment?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17B01681" w14:textId="77777777" w:rsidR="00072C9A" w:rsidRDefault="00072C9A" w:rsidP="00072C9A"/>
        </w:tc>
        <w:tc>
          <w:tcPr>
            <w:tcW w:w="1170" w:type="dxa"/>
            <w:shd w:val="clear" w:color="auto" w:fill="808080" w:themeFill="background1" w:themeFillShade="80"/>
          </w:tcPr>
          <w:p w14:paraId="595BFE8C" w14:textId="77777777" w:rsidR="00072C9A" w:rsidRDefault="00072C9A" w:rsidP="00072C9A"/>
        </w:tc>
        <w:tc>
          <w:tcPr>
            <w:tcW w:w="1710" w:type="dxa"/>
            <w:shd w:val="clear" w:color="auto" w:fill="808080" w:themeFill="background1" w:themeFillShade="80"/>
          </w:tcPr>
          <w:p w14:paraId="394116BA" w14:textId="77777777" w:rsidR="00072C9A" w:rsidRDefault="00072C9A" w:rsidP="00072C9A"/>
        </w:tc>
        <w:tc>
          <w:tcPr>
            <w:tcW w:w="1620" w:type="dxa"/>
            <w:shd w:val="clear" w:color="auto" w:fill="808080" w:themeFill="background1" w:themeFillShade="80"/>
          </w:tcPr>
          <w:p w14:paraId="1111BD8F" w14:textId="77777777" w:rsidR="00072C9A" w:rsidRDefault="00072C9A" w:rsidP="00072C9A"/>
        </w:tc>
        <w:tc>
          <w:tcPr>
            <w:tcW w:w="4950" w:type="dxa"/>
          </w:tcPr>
          <w:p w14:paraId="70A1BE36" w14:textId="77777777" w:rsidR="00072C9A" w:rsidRDefault="00072C9A" w:rsidP="00072C9A"/>
        </w:tc>
      </w:tr>
      <w:tr w:rsidR="00072C9A" w14:paraId="516A7A15" w14:textId="77777777" w:rsidTr="00FA2847">
        <w:tc>
          <w:tcPr>
            <w:tcW w:w="3505" w:type="dxa"/>
          </w:tcPr>
          <w:p w14:paraId="28CC895B" w14:textId="77777777" w:rsidR="00072C9A" w:rsidRDefault="00072C9A" w:rsidP="00072C9A">
            <w:pPr>
              <w:ind w:left="180" w:hanging="180"/>
            </w:pPr>
            <w:r>
              <w:t>9. How have past CIPs contributed to success?</w:t>
            </w:r>
          </w:p>
        </w:tc>
        <w:tc>
          <w:tcPr>
            <w:tcW w:w="1350" w:type="dxa"/>
          </w:tcPr>
          <w:p w14:paraId="49BE268C" w14:textId="6D9A522D" w:rsidR="00072C9A" w:rsidRDefault="00B553AB" w:rsidP="00072C9A">
            <w:r>
              <w:t>AWR</w:t>
            </w:r>
            <w:r w:rsidR="00C369FE">
              <w:t>C</w:t>
            </w:r>
          </w:p>
        </w:tc>
        <w:tc>
          <w:tcPr>
            <w:tcW w:w="1170" w:type="dxa"/>
          </w:tcPr>
          <w:p w14:paraId="1ED9B56F" w14:textId="544F7E0F" w:rsidR="00072C9A" w:rsidRDefault="00B553AB" w:rsidP="00072C9A">
            <w:r>
              <w:t>AWR</w:t>
            </w:r>
            <w:r w:rsidR="00C369FE">
              <w:t>C</w:t>
            </w:r>
          </w:p>
        </w:tc>
        <w:tc>
          <w:tcPr>
            <w:tcW w:w="1710" w:type="dxa"/>
          </w:tcPr>
          <w:p w14:paraId="21121E5F" w14:textId="08A3ED14" w:rsidR="00072C9A" w:rsidRDefault="00B553AB" w:rsidP="00072C9A">
            <w:r>
              <w:t>AWR</w:t>
            </w:r>
            <w:r w:rsidR="00C369FE">
              <w:t>C</w:t>
            </w:r>
          </w:p>
        </w:tc>
        <w:tc>
          <w:tcPr>
            <w:tcW w:w="1620" w:type="dxa"/>
          </w:tcPr>
          <w:p w14:paraId="4F23DB15" w14:textId="13CAD3C3" w:rsidR="00072C9A" w:rsidRDefault="00B553AB" w:rsidP="00072C9A">
            <w:r>
              <w:t>AWR</w:t>
            </w:r>
            <w:r w:rsidR="00C369FE">
              <w:t>C</w:t>
            </w:r>
          </w:p>
        </w:tc>
        <w:tc>
          <w:tcPr>
            <w:tcW w:w="4950" w:type="dxa"/>
          </w:tcPr>
          <w:p w14:paraId="68AA0D5A" w14:textId="77777777" w:rsidR="00C369FE" w:rsidRDefault="0033345B" w:rsidP="00593042">
            <w:r>
              <w:t>From surveys:  “</w:t>
            </w:r>
            <w:r w:rsidR="00593042">
              <w:t>Do you feel that this program will help with your success as a student? 77% Overall definitive yes” came from 56% “Definitely will” and 21% “Probably will.”  “Probably” is not definitive, so this 77% is misleading.</w:t>
            </w:r>
          </w:p>
          <w:p w14:paraId="4CD81B4C" w14:textId="77777777" w:rsidR="00C369FE" w:rsidRDefault="00C369FE" w:rsidP="00593042"/>
          <w:p w14:paraId="2D9893CA" w14:textId="19E1DDF9" w:rsidR="00072C9A" w:rsidRDefault="00C369FE" w:rsidP="00593042">
            <w:r>
              <w:t>Missing a CIP.</w:t>
            </w:r>
            <w:r w:rsidR="00954AAD">
              <w:br/>
            </w:r>
            <w:r w:rsidR="00954AAD">
              <w:br/>
              <w:t>Generally, data was provided and supported assertions.</w:t>
            </w:r>
            <w:r w:rsidR="00B65BB9">
              <w:t xml:space="preserve">  (</w:t>
            </w:r>
            <w:r w:rsidR="00223D3B">
              <w:t>7</w:t>
            </w:r>
            <w:r w:rsidR="00B65BB9">
              <w:t>)</w:t>
            </w:r>
          </w:p>
        </w:tc>
      </w:tr>
      <w:tr w:rsidR="0032296D" w14:paraId="2B5110C8" w14:textId="77777777" w:rsidTr="00FA2847">
        <w:tc>
          <w:tcPr>
            <w:tcW w:w="3505" w:type="dxa"/>
          </w:tcPr>
          <w:p w14:paraId="7CDA5F54" w14:textId="77777777" w:rsidR="0032296D" w:rsidRDefault="0032296D" w:rsidP="0032296D">
            <w:pPr>
              <w:ind w:left="180" w:hanging="180"/>
            </w:pPr>
            <w:r>
              <w:t>10.  How will the unit evaluate its success?</w:t>
            </w:r>
          </w:p>
        </w:tc>
        <w:tc>
          <w:tcPr>
            <w:tcW w:w="1350" w:type="dxa"/>
          </w:tcPr>
          <w:p w14:paraId="60880257" w14:textId="3B911E69" w:rsidR="0032296D" w:rsidRDefault="0032296D" w:rsidP="0032296D">
            <w:r w:rsidRPr="00624C4A">
              <w:t>AWOR</w:t>
            </w:r>
          </w:p>
        </w:tc>
        <w:tc>
          <w:tcPr>
            <w:tcW w:w="1170" w:type="dxa"/>
          </w:tcPr>
          <w:p w14:paraId="5CCEA1F0" w14:textId="494863B5" w:rsidR="0032296D" w:rsidRDefault="0032296D" w:rsidP="0032296D">
            <w:r w:rsidRPr="00624C4A">
              <w:t>AWOR</w:t>
            </w:r>
          </w:p>
        </w:tc>
        <w:tc>
          <w:tcPr>
            <w:tcW w:w="1710" w:type="dxa"/>
          </w:tcPr>
          <w:p w14:paraId="7E276853" w14:textId="14F9823E" w:rsidR="0032296D" w:rsidRDefault="0032296D" w:rsidP="0032296D">
            <w:r w:rsidRPr="00624C4A">
              <w:t>AWR</w:t>
            </w:r>
          </w:p>
        </w:tc>
        <w:tc>
          <w:tcPr>
            <w:tcW w:w="1620" w:type="dxa"/>
          </w:tcPr>
          <w:p w14:paraId="48DA26D2" w14:textId="3F2CED29" w:rsidR="0032296D" w:rsidRDefault="0032296D" w:rsidP="0032296D">
            <w:r w:rsidRPr="00624C4A">
              <w:t>AWOR</w:t>
            </w:r>
          </w:p>
        </w:tc>
        <w:tc>
          <w:tcPr>
            <w:tcW w:w="4950" w:type="dxa"/>
          </w:tcPr>
          <w:p w14:paraId="74102B11" w14:textId="5F57786A" w:rsidR="0032296D" w:rsidRDefault="00731338" w:rsidP="0032296D">
            <w:r>
              <w:t>Questions are addressed.</w:t>
            </w:r>
            <w:r w:rsidR="00223D3B">
              <w:t xml:space="preserve">  Specifics about evaluation are not given thoroughly. (9)</w:t>
            </w:r>
          </w:p>
        </w:tc>
      </w:tr>
      <w:tr w:rsidR="00072C9A" w14:paraId="33973A34" w14:textId="77777777" w:rsidTr="00A526A4">
        <w:tc>
          <w:tcPr>
            <w:tcW w:w="3505" w:type="dxa"/>
          </w:tcPr>
          <w:p w14:paraId="5FFD87D2" w14:textId="77777777" w:rsidR="00072C9A" w:rsidRDefault="00072C9A" w:rsidP="00072C9A">
            <w:pPr>
              <w:ind w:left="180" w:hanging="180"/>
            </w:pPr>
            <w:r>
              <w:t>11. Future Continuous Improvement Plan Tables</w:t>
            </w:r>
          </w:p>
          <w:p w14:paraId="1C5061DA" w14:textId="77777777" w:rsidR="00072C9A" w:rsidRDefault="00072C9A" w:rsidP="00072C9A">
            <w:pPr>
              <w:ind w:left="180" w:hanging="180"/>
            </w:pPr>
          </w:p>
        </w:tc>
        <w:tc>
          <w:tcPr>
            <w:tcW w:w="1350" w:type="dxa"/>
          </w:tcPr>
          <w:p w14:paraId="52C6A483" w14:textId="68B9919F" w:rsidR="00072C9A" w:rsidRDefault="00035C05" w:rsidP="00072C9A">
            <w:r>
              <w:t>AWOR</w:t>
            </w:r>
          </w:p>
        </w:tc>
        <w:tc>
          <w:tcPr>
            <w:tcW w:w="1170" w:type="dxa"/>
            <w:shd w:val="clear" w:color="auto" w:fill="808080" w:themeFill="background1" w:themeFillShade="80"/>
          </w:tcPr>
          <w:p w14:paraId="29A217E6" w14:textId="77777777" w:rsidR="00072C9A" w:rsidRDefault="00072C9A" w:rsidP="00072C9A"/>
        </w:tc>
        <w:tc>
          <w:tcPr>
            <w:tcW w:w="1710" w:type="dxa"/>
            <w:shd w:val="clear" w:color="auto" w:fill="808080" w:themeFill="background1" w:themeFillShade="80"/>
          </w:tcPr>
          <w:p w14:paraId="4A7B9205" w14:textId="77777777" w:rsidR="00072C9A" w:rsidRDefault="00072C9A" w:rsidP="00072C9A"/>
        </w:tc>
        <w:tc>
          <w:tcPr>
            <w:tcW w:w="1620" w:type="dxa"/>
          </w:tcPr>
          <w:p w14:paraId="019D9DE4" w14:textId="32146E02" w:rsidR="00072C9A" w:rsidRDefault="00035C05" w:rsidP="00072C9A">
            <w:r>
              <w:t>AWOR</w:t>
            </w:r>
          </w:p>
        </w:tc>
        <w:tc>
          <w:tcPr>
            <w:tcW w:w="4950" w:type="dxa"/>
          </w:tcPr>
          <w:p w14:paraId="16BEDFAA" w14:textId="653C28FB" w:rsidR="00072C9A" w:rsidRDefault="00A967EB" w:rsidP="00072C9A">
            <w:r>
              <w:t>Suggestion:  Row 1, Measures block (unless that block was also frozen), remove “IE” and “</w:t>
            </w:r>
            <w:r w:rsidR="00FF6696">
              <w:t>item.”</w:t>
            </w:r>
            <w:r w:rsidR="00B65BB9">
              <w:t xml:space="preserve"> (10)</w:t>
            </w:r>
          </w:p>
        </w:tc>
      </w:tr>
    </w:tbl>
    <w:p w14:paraId="4BA099C5" w14:textId="77777777" w:rsidR="00287D3E" w:rsidRDefault="00287D3E" w:rsidP="00313B9A"/>
    <w:p w14:paraId="5D2235EB" w14:textId="65501EA1" w:rsidR="006761AD" w:rsidRPr="00101233" w:rsidRDefault="006761AD" w:rsidP="006761AD">
      <w:pPr>
        <w:rPr>
          <w:rFonts w:ascii="Calibri" w:eastAsia="Calibri" w:hAnsi="Calibri" w:cs="Times New Roman"/>
          <w:b/>
          <w:sz w:val="28"/>
          <w:szCs w:val="28"/>
        </w:rPr>
      </w:pPr>
      <w:r w:rsidRPr="00101233">
        <w:rPr>
          <w:rFonts w:ascii="Calibri" w:eastAsia="Calibri" w:hAnsi="Calibri" w:cs="Times New Roman"/>
          <w:b/>
          <w:sz w:val="28"/>
          <w:szCs w:val="28"/>
        </w:rPr>
        <w:t>Overall Decision:</w:t>
      </w:r>
      <w:r w:rsidR="00B65BB9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="00223D3B">
        <w:rPr>
          <w:rFonts w:ascii="Calibri" w:eastAsia="Calibri" w:hAnsi="Calibri" w:cs="Times New Roman"/>
          <w:b/>
          <w:sz w:val="28"/>
          <w:szCs w:val="28"/>
        </w:rPr>
        <w:t>86</w:t>
      </w:r>
      <w:r w:rsidR="00B65BB9">
        <w:rPr>
          <w:rFonts w:ascii="Calibri" w:eastAsia="Calibri" w:hAnsi="Calibri" w:cs="Times New Roman"/>
          <w:b/>
          <w:sz w:val="28"/>
          <w:szCs w:val="28"/>
        </w:rPr>
        <w:t xml:space="preserve"> points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4145"/>
        <w:gridCol w:w="2469"/>
        <w:gridCol w:w="2633"/>
      </w:tblGrid>
      <w:tr w:rsidR="00C766EE" w:rsidRPr="00865A44" w14:paraId="4CE6DA40" w14:textId="77777777" w:rsidTr="00C766EE">
        <w:trPr>
          <w:trHeight w:val="404"/>
        </w:trPr>
        <w:tc>
          <w:tcPr>
            <w:tcW w:w="4145" w:type="dxa"/>
          </w:tcPr>
          <w:p w14:paraId="047B5F1A" w14:textId="77777777" w:rsidR="00C766EE" w:rsidRPr="00865A44" w:rsidRDefault="00C766EE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Accepted Without Recommendations</w:t>
            </w:r>
          </w:p>
        </w:tc>
        <w:tc>
          <w:tcPr>
            <w:tcW w:w="4145" w:type="dxa"/>
          </w:tcPr>
          <w:p w14:paraId="0BFC1D0C" w14:textId="0DB0EEA4" w:rsidR="00C766EE" w:rsidRPr="00865A44" w:rsidRDefault="00C766EE" w:rsidP="007C4434">
            <w:pPr>
              <w:jc w:val="center"/>
              <w:rPr>
                <w:sz w:val="24"/>
                <w:szCs w:val="24"/>
              </w:rPr>
            </w:pPr>
            <w:r w:rsidRPr="006855C6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</w:t>
            </w:r>
            <w:r w:rsidR="00223D3B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X</w:t>
            </w:r>
            <w:r w:rsidRPr="006855C6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ith Recommendations</w:t>
            </w:r>
          </w:p>
        </w:tc>
        <w:tc>
          <w:tcPr>
            <w:tcW w:w="2469" w:type="dxa"/>
          </w:tcPr>
          <w:p w14:paraId="61F31C77" w14:textId="77777777" w:rsidR="00C766EE" w:rsidRPr="00C766EE" w:rsidRDefault="00C766EE" w:rsidP="007C443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___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Accepted with Required Recommendations</w:t>
            </w:r>
          </w:p>
        </w:tc>
        <w:tc>
          <w:tcPr>
            <w:tcW w:w="2633" w:type="dxa"/>
          </w:tcPr>
          <w:p w14:paraId="4697E988" w14:textId="77777777" w:rsidR="00C766EE" w:rsidRPr="00865A44" w:rsidRDefault="00C766EE" w:rsidP="007C4434">
            <w:pPr>
              <w:jc w:val="center"/>
              <w:rPr>
                <w:sz w:val="24"/>
                <w:szCs w:val="24"/>
              </w:rPr>
            </w:pPr>
            <w:r w:rsidRPr="006855C6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Revisit and Revise</w:t>
            </w:r>
          </w:p>
        </w:tc>
      </w:tr>
    </w:tbl>
    <w:p w14:paraId="4F4FACE7" w14:textId="77777777" w:rsidR="006761AD" w:rsidRDefault="006761AD" w:rsidP="006761AD">
      <w:pPr>
        <w:jc w:val="center"/>
      </w:pPr>
    </w:p>
    <w:p w14:paraId="3EA90A16" w14:textId="77777777" w:rsidR="006761AD" w:rsidRDefault="006761AD" w:rsidP="006761AD"/>
    <w:p w14:paraId="75F4C49B" w14:textId="77777777" w:rsidR="006761AD" w:rsidRPr="00101233" w:rsidRDefault="006761AD" w:rsidP="006761AD">
      <w:pPr>
        <w:rPr>
          <w:b/>
        </w:rPr>
      </w:pPr>
      <w:r w:rsidRPr="00101233"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D1F259" wp14:editId="224B233D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8496300" cy="2228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4639E" w14:textId="7F3AE244" w:rsidR="006761AD" w:rsidRDefault="00223D3B" w:rsidP="006761AD">
                            <w:r>
                              <w:t>I think that the point values result in AWOR, technically; but there are some things which really should be changed.  There is a lot of variation in section quality; so the point total doesn’t reflect all sections.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1F2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55pt;width:669pt;height:17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" strokecolor="black [3213]">
                <v:textbox>
                  <w:txbxContent>
                    <w:p w14:paraId="17F4639E" w14:textId="7F3AE244" w:rsidR="006761AD" w:rsidRDefault="00223D3B" w:rsidP="006761AD">
                      <w:r>
                        <w:t>I think that the point values result in AWOR, technically; but there are some things which really should be changed.  There is a lot of variation in section quality; so the point total doesn’t reflect all sections.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1233">
        <w:rPr>
          <w:b/>
        </w:rPr>
        <w:t>General comments about the submission or rationale for the conclusion:</w:t>
      </w:r>
    </w:p>
    <w:p w14:paraId="159E746D" w14:textId="77777777" w:rsidR="006761AD" w:rsidRDefault="006761AD" w:rsidP="006761AD">
      <w:pPr>
        <w:rPr>
          <w:sz w:val="20"/>
          <w:szCs w:val="20"/>
        </w:rPr>
      </w:pPr>
    </w:p>
    <w:p w14:paraId="7AE543C6" w14:textId="77777777" w:rsidR="006761AD" w:rsidRDefault="006761AD" w:rsidP="00313B9A"/>
    <w:sectPr w:rsidR="006761AD" w:rsidSect="00560878">
      <w:headerReference w:type="default" r:id="rId7"/>
      <w:footerReference w:type="default" r:id="rId8"/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9C8A" w14:textId="77777777" w:rsidR="00560878" w:rsidRDefault="00560878" w:rsidP="00FA0207">
      <w:pPr>
        <w:spacing w:after="0" w:line="240" w:lineRule="auto"/>
      </w:pPr>
      <w:r>
        <w:separator/>
      </w:r>
    </w:p>
  </w:endnote>
  <w:endnote w:type="continuationSeparator" w:id="0">
    <w:p w14:paraId="24573830" w14:textId="77777777" w:rsidR="00560878" w:rsidRDefault="00560878" w:rsidP="00FA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1F780" w14:textId="77777777" w:rsidR="003078A4" w:rsidRDefault="006855C6">
    <w:pPr>
      <w:pStyle w:val="Footer"/>
    </w:pPr>
    <w:r>
      <w:t>Revision 202</w:t>
    </w:r>
    <w:r w:rsidR="00807167">
      <w:t>1</w:t>
    </w:r>
    <w:r w:rsidR="003078A4">
      <w:t>.</w:t>
    </w:r>
    <w:r w:rsidR="006761AD">
      <w:t>0</w:t>
    </w:r>
    <w:r w:rsidR="00807167">
      <w:t>2</w:t>
    </w:r>
    <w:r w:rsidR="003078A4">
      <w:t>.</w:t>
    </w:r>
    <w:r w:rsidR="00807167">
      <w:t>03</w:t>
    </w:r>
    <w:r w:rsidR="0002605E">
      <w:tab/>
    </w:r>
    <w:r w:rsidR="0002605E">
      <w:tab/>
    </w:r>
    <w:r w:rsidR="0002605E">
      <w:tab/>
    </w:r>
    <w:r w:rsidR="0002605E">
      <w:tab/>
    </w:r>
    <w:r w:rsidR="0002605E">
      <w:tab/>
    </w:r>
    <w:r w:rsidR="0002605E">
      <w:tab/>
    </w:r>
    <w:r w:rsidR="0002605E">
      <w:tab/>
      <w:t xml:space="preserve">Page </w:t>
    </w:r>
    <w:r w:rsidR="0002605E">
      <w:fldChar w:fldCharType="begin"/>
    </w:r>
    <w:r w:rsidR="0002605E">
      <w:instrText xml:space="preserve"> PAGE   \* MERGEFORMAT </w:instrText>
    </w:r>
    <w:r w:rsidR="0002605E">
      <w:fldChar w:fldCharType="separate"/>
    </w:r>
    <w:r w:rsidR="00807167">
      <w:rPr>
        <w:noProof/>
      </w:rPr>
      <w:t>2</w:t>
    </w:r>
    <w:r w:rsidR="0002605E">
      <w:rPr>
        <w:noProof/>
      </w:rPr>
      <w:fldChar w:fldCharType="end"/>
    </w:r>
    <w:r w:rsidR="0002605E">
      <w:rPr>
        <w:noProof/>
      </w:rPr>
      <w:t xml:space="preserve"> of </w:t>
    </w:r>
    <w:r w:rsidR="0002605E">
      <w:rPr>
        <w:noProof/>
      </w:rPr>
      <w:fldChar w:fldCharType="begin"/>
    </w:r>
    <w:r w:rsidR="0002605E">
      <w:rPr>
        <w:noProof/>
      </w:rPr>
      <w:instrText xml:space="preserve"> NUMPAGES </w:instrText>
    </w:r>
    <w:r w:rsidR="0002605E">
      <w:rPr>
        <w:noProof/>
      </w:rPr>
      <w:fldChar w:fldCharType="separate"/>
    </w:r>
    <w:r w:rsidR="00807167">
      <w:rPr>
        <w:noProof/>
      </w:rPr>
      <w:t>2</w:t>
    </w:r>
    <w:r w:rsidR="0002605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9BD75" w14:textId="77777777" w:rsidR="00560878" w:rsidRDefault="00560878" w:rsidP="00FA0207">
      <w:pPr>
        <w:spacing w:after="0" w:line="240" w:lineRule="auto"/>
      </w:pPr>
      <w:r>
        <w:separator/>
      </w:r>
    </w:p>
  </w:footnote>
  <w:footnote w:type="continuationSeparator" w:id="0">
    <w:p w14:paraId="76043882" w14:textId="77777777" w:rsidR="00560878" w:rsidRDefault="00560878" w:rsidP="00FA0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1BF1" w14:textId="77777777" w:rsidR="00FA0207" w:rsidRDefault="00FA0207" w:rsidP="00F22194">
    <w:pPr>
      <w:pStyle w:val="Header"/>
      <w:jc w:val="center"/>
      <w:rPr>
        <w:b/>
        <w:sz w:val="24"/>
        <w:szCs w:val="24"/>
      </w:rPr>
    </w:pPr>
    <w:r w:rsidRPr="00F22194">
      <w:rPr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02C6B7B" wp14:editId="33240EF2">
          <wp:simplePos x="0" y="0"/>
          <wp:positionH relativeFrom="column">
            <wp:posOffset>-299720</wp:posOffset>
          </wp:positionH>
          <wp:positionV relativeFrom="paragraph">
            <wp:posOffset>-328295</wp:posOffset>
          </wp:positionV>
          <wp:extent cx="689610" cy="6223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ferredColle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61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2194">
      <w:rPr>
        <w:b/>
        <w:sz w:val="24"/>
        <w:szCs w:val="24"/>
      </w:rPr>
      <w:t>U</w:t>
    </w:r>
    <w:r w:rsidR="00757411">
      <w:rPr>
        <w:b/>
        <w:sz w:val="24"/>
        <w:szCs w:val="24"/>
      </w:rPr>
      <w:t>NIT</w:t>
    </w:r>
    <w:r w:rsidRPr="00F22194">
      <w:rPr>
        <w:b/>
        <w:sz w:val="24"/>
        <w:szCs w:val="24"/>
      </w:rPr>
      <w:t xml:space="preserve"> </w:t>
    </w:r>
    <w:r w:rsidR="00757411">
      <w:rPr>
        <w:b/>
        <w:sz w:val="24"/>
        <w:szCs w:val="24"/>
      </w:rPr>
      <w:t xml:space="preserve">REVIEW </w:t>
    </w:r>
    <w:r w:rsidRPr="00F22194">
      <w:rPr>
        <w:b/>
        <w:sz w:val="24"/>
        <w:szCs w:val="24"/>
      </w:rPr>
      <w:t>C</w:t>
    </w:r>
    <w:r w:rsidR="00757411">
      <w:rPr>
        <w:b/>
        <w:sz w:val="24"/>
        <w:szCs w:val="24"/>
      </w:rPr>
      <w:t>HECKLIST</w:t>
    </w:r>
  </w:p>
  <w:p w14:paraId="12ABB96E" w14:textId="77777777" w:rsidR="006761AD" w:rsidRDefault="006761AD" w:rsidP="00F22194">
    <w:pPr>
      <w:pStyle w:val="Header"/>
      <w:jc w:val="center"/>
      <w:rPr>
        <w:b/>
        <w:sz w:val="24"/>
        <w:szCs w:val="24"/>
      </w:rPr>
    </w:pPr>
  </w:p>
  <w:p w14:paraId="60F5725F" w14:textId="77777777" w:rsidR="006761AD" w:rsidRDefault="006761AD" w:rsidP="00F22194">
    <w:pPr>
      <w:pStyle w:val="Header"/>
      <w:jc w:val="center"/>
      <w:rPr>
        <w:b/>
        <w:sz w:val="24"/>
        <w:szCs w:val="24"/>
      </w:rPr>
    </w:pPr>
  </w:p>
  <w:p w14:paraId="4331964E" w14:textId="4A2EEBE1" w:rsidR="006761AD" w:rsidRDefault="006761AD" w:rsidP="006761AD">
    <w:pPr>
      <w:rPr>
        <w:b/>
      </w:rPr>
    </w:pPr>
    <w:r>
      <w:rPr>
        <w:b/>
      </w:rPr>
      <w:t>Unit</w:t>
    </w:r>
    <w:r w:rsidRPr="00A030C9">
      <w:rPr>
        <w:b/>
      </w:rPr>
      <w:t xml:space="preserve"> name</w:t>
    </w:r>
    <w:r>
      <w:rPr>
        <w:b/>
      </w:rPr>
      <w:t xml:space="preserve">: </w:t>
    </w:r>
    <w:r w:rsidRPr="00F32CB1">
      <w:rPr>
        <w:b/>
      </w:rPr>
      <w:t>_______</w:t>
    </w:r>
    <w:r w:rsidR="0005599E">
      <w:rPr>
        <w:b/>
        <w:u w:val="single"/>
      </w:rPr>
      <w:t>Student Engagement</w:t>
    </w:r>
    <w:r w:rsidRPr="00F32CB1">
      <w:rPr>
        <w:b/>
      </w:rPr>
      <w:t xml:space="preserve">___________________ </w:t>
    </w:r>
    <w:r>
      <w:rPr>
        <w:b/>
      </w:rPr>
      <w:tab/>
    </w:r>
    <w:r>
      <w:rPr>
        <w:b/>
      </w:rPr>
      <w:tab/>
    </w:r>
    <w:r w:rsidRPr="00647B52">
      <w:t xml:space="preserve"> </w:t>
    </w:r>
    <w:r>
      <w:rPr>
        <w:b/>
      </w:rPr>
      <w:t>Reviewer: ______________</w:t>
    </w:r>
    <w:r w:rsidR="0005599E">
      <w:rPr>
        <w:b/>
        <w:u w:val="single"/>
      </w:rPr>
      <w:t>Shanna Irwin-Coury</w:t>
    </w:r>
    <w:r>
      <w:rPr>
        <w:b/>
      </w:rPr>
      <w:t>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1CF2"/>
    <w:multiLevelType w:val="hybridMultilevel"/>
    <w:tmpl w:val="717052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7B2FF3"/>
    <w:multiLevelType w:val="hybridMultilevel"/>
    <w:tmpl w:val="E334F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F1094"/>
    <w:multiLevelType w:val="hybridMultilevel"/>
    <w:tmpl w:val="11E87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436EF"/>
    <w:multiLevelType w:val="hybridMultilevel"/>
    <w:tmpl w:val="6296A85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7433933">
    <w:abstractNumId w:val="2"/>
  </w:num>
  <w:num w:numId="2" w16cid:durableId="700281715">
    <w:abstractNumId w:val="1"/>
  </w:num>
  <w:num w:numId="3" w16cid:durableId="1982926119">
    <w:abstractNumId w:val="3"/>
  </w:num>
  <w:num w:numId="4" w16cid:durableId="916477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16"/>
    <w:rsid w:val="00006D60"/>
    <w:rsid w:val="00010090"/>
    <w:rsid w:val="0002605E"/>
    <w:rsid w:val="00035C05"/>
    <w:rsid w:val="000479FA"/>
    <w:rsid w:val="0005599E"/>
    <w:rsid w:val="00072C9A"/>
    <w:rsid w:val="00087C33"/>
    <w:rsid w:val="000C642A"/>
    <w:rsid w:val="000F34DF"/>
    <w:rsid w:val="00105C46"/>
    <w:rsid w:val="00111976"/>
    <w:rsid w:val="00116950"/>
    <w:rsid w:val="001E6AA7"/>
    <w:rsid w:val="001F2CFF"/>
    <w:rsid w:val="00223D3B"/>
    <w:rsid w:val="00261EDF"/>
    <w:rsid w:val="00287D3E"/>
    <w:rsid w:val="002C37C9"/>
    <w:rsid w:val="003078A4"/>
    <w:rsid w:val="00313B9A"/>
    <w:rsid w:val="0032296D"/>
    <w:rsid w:val="0033345B"/>
    <w:rsid w:val="00385C6B"/>
    <w:rsid w:val="00430FCA"/>
    <w:rsid w:val="004E6C49"/>
    <w:rsid w:val="00560878"/>
    <w:rsid w:val="00593042"/>
    <w:rsid w:val="005E3D1F"/>
    <w:rsid w:val="005F1CD1"/>
    <w:rsid w:val="005F2368"/>
    <w:rsid w:val="005F34DB"/>
    <w:rsid w:val="00604216"/>
    <w:rsid w:val="006148C6"/>
    <w:rsid w:val="00621224"/>
    <w:rsid w:val="00624FAE"/>
    <w:rsid w:val="00647B52"/>
    <w:rsid w:val="006752B3"/>
    <w:rsid w:val="006761AD"/>
    <w:rsid w:val="006819E6"/>
    <w:rsid w:val="006855C6"/>
    <w:rsid w:val="006D169C"/>
    <w:rsid w:val="00731338"/>
    <w:rsid w:val="0075232C"/>
    <w:rsid w:val="00757411"/>
    <w:rsid w:val="00763184"/>
    <w:rsid w:val="00764B05"/>
    <w:rsid w:val="007F64F0"/>
    <w:rsid w:val="0080166F"/>
    <w:rsid w:val="00807167"/>
    <w:rsid w:val="008B41CB"/>
    <w:rsid w:val="009452D5"/>
    <w:rsid w:val="00954AAD"/>
    <w:rsid w:val="009A51CC"/>
    <w:rsid w:val="009D2932"/>
    <w:rsid w:val="00A030C9"/>
    <w:rsid w:val="00A40501"/>
    <w:rsid w:val="00A526A4"/>
    <w:rsid w:val="00A967EB"/>
    <w:rsid w:val="00AD42E8"/>
    <w:rsid w:val="00AF0C97"/>
    <w:rsid w:val="00B553AB"/>
    <w:rsid w:val="00B65BB9"/>
    <w:rsid w:val="00C13D56"/>
    <w:rsid w:val="00C369FE"/>
    <w:rsid w:val="00C766EE"/>
    <w:rsid w:val="00CA3289"/>
    <w:rsid w:val="00CA576D"/>
    <w:rsid w:val="00CD1781"/>
    <w:rsid w:val="00D17A25"/>
    <w:rsid w:val="00D41F30"/>
    <w:rsid w:val="00D47C6C"/>
    <w:rsid w:val="00DB0D1F"/>
    <w:rsid w:val="00DB4774"/>
    <w:rsid w:val="00E22EAE"/>
    <w:rsid w:val="00E514A1"/>
    <w:rsid w:val="00E96EC7"/>
    <w:rsid w:val="00F12C87"/>
    <w:rsid w:val="00F22194"/>
    <w:rsid w:val="00F32CB1"/>
    <w:rsid w:val="00F615FE"/>
    <w:rsid w:val="00FA0207"/>
    <w:rsid w:val="00FA2847"/>
    <w:rsid w:val="00FB41AC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107C1"/>
  <w15:docId w15:val="{E7D826DB-D98E-44D8-93FC-9C1B5C45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5FE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15FE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table" w:styleId="TableGrid">
    <w:name w:val="Table Grid"/>
    <w:basedOn w:val="TableNormal"/>
    <w:uiPriority w:val="59"/>
    <w:rsid w:val="00604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2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207"/>
  </w:style>
  <w:style w:type="paragraph" w:styleId="Footer">
    <w:name w:val="footer"/>
    <w:basedOn w:val="Normal"/>
    <w:link w:val="FooterChar"/>
    <w:uiPriority w:val="99"/>
    <w:unhideWhenUsed/>
    <w:rsid w:val="00FA0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207"/>
  </w:style>
  <w:style w:type="table" w:customStyle="1" w:styleId="TableGrid1">
    <w:name w:val="Table Grid1"/>
    <w:basedOn w:val="TableNormal"/>
    <w:next w:val="TableGrid"/>
    <w:uiPriority w:val="59"/>
    <w:rsid w:val="00287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Unit Submission Review PRSC Checklist</vt:lpstr>
    </vt:vector>
  </TitlesOfParts>
  <Company>CCCCD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Unit Submission Review PRSC Checklist</dc:title>
  <dc:creator>Institutional Effectiveness</dc:creator>
  <cp:lastModifiedBy>Shanna Irwin-Coury</cp:lastModifiedBy>
  <cp:revision>2</cp:revision>
  <cp:lastPrinted>2016-01-08T15:56:00Z</cp:lastPrinted>
  <dcterms:created xsi:type="dcterms:W3CDTF">2024-03-27T16:36:00Z</dcterms:created>
  <dcterms:modified xsi:type="dcterms:W3CDTF">2024-03-27T16:36:00Z</dcterms:modified>
</cp:coreProperties>
</file>