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1E32" w14:textId="6D23F075" w:rsidR="000C642A" w:rsidRPr="0075232C" w:rsidRDefault="00C63F21">
      <w:r>
        <w:t xml:space="preserve">Continuing Education and Workforce Development </w:t>
      </w:r>
      <w:r>
        <w:tab/>
      </w:r>
      <w:r>
        <w:tab/>
      </w:r>
      <w:r>
        <w:tab/>
      </w:r>
      <w:r>
        <w:tab/>
      </w:r>
      <w:r>
        <w:tab/>
      </w:r>
      <w:r>
        <w:tab/>
        <w:t xml:space="preserve">Whitney Pisani </w:t>
      </w:r>
    </w:p>
    <w:tbl>
      <w:tblPr>
        <w:tblStyle w:val="TableGrid"/>
        <w:tblpPr w:leftFromText="180" w:rightFromText="180" w:vertAnchor="text" w:tblpX="-95" w:tblpY="1"/>
        <w:tblOverlap w:val="never"/>
        <w:tblW w:w="14305" w:type="dxa"/>
        <w:tblLook w:val="04A0" w:firstRow="1" w:lastRow="0" w:firstColumn="1" w:lastColumn="0" w:noHBand="0" w:noVBand="1"/>
      </w:tblPr>
      <w:tblGrid>
        <w:gridCol w:w="1754"/>
        <w:gridCol w:w="2585"/>
        <w:gridCol w:w="4788"/>
        <w:gridCol w:w="2300"/>
        <w:gridCol w:w="1447"/>
        <w:gridCol w:w="1431"/>
      </w:tblGrid>
      <w:tr w:rsidR="00A638DE" w14:paraId="69670D8E" w14:textId="77777777" w:rsidTr="003965F7">
        <w:tc>
          <w:tcPr>
            <w:tcW w:w="2089" w:type="dxa"/>
            <w:shd w:val="clear" w:color="auto" w:fill="808080" w:themeFill="background1" w:themeFillShade="80"/>
            <w:vAlign w:val="center"/>
          </w:tcPr>
          <w:p w14:paraId="59C32B6B" w14:textId="77777777" w:rsidR="00F32CB1" w:rsidRDefault="00F32CB1" w:rsidP="00757411">
            <w:pPr>
              <w:ind w:left="180" w:hanging="180"/>
              <w:jc w:val="center"/>
            </w:pPr>
          </w:p>
        </w:tc>
        <w:tc>
          <w:tcPr>
            <w:tcW w:w="2585" w:type="dxa"/>
            <w:vAlign w:val="center"/>
          </w:tcPr>
          <w:p w14:paraId="2F659E1C" w14:textId="77777777" w:rsidR="00F32CB1" w:rsidRPr="00087C33" w:rsidRDefault="00F32CB1" w:rsidP="00757411">
            <w:pPr>
              <w:jc w:val="center"/>
              <w:rPr>
                <w:b/>
              </w:rPr>
            </w:pPr>
            <w:r w:rsidRPr="00087C33">
              <w:rPr>
                <w:b/>
              </w:rPr>
              <w:t>Re</w:t>
            </w:r>
            <w:r>
              <w:rPr>
                <w:b/>
              </w:rPr>
              <w:t>sponsive to the Component</w:t>
            </w:r>
          </w:p>
        </w:tc>
        <w:tc>
          <w:tcPr>
            <w:tcW w:w="1521" w:type="dxa"/>
            <w:vAlign w:val="center"/>
          </w:tcPr>
          <w:p w14:paraId="686F63C6" w14:textId="77777777" w:rsidR="00F32CB1" w:rsidRPr="00087C33" w:rsidRDefault="00F32CB1" w:rsidP="00757411">
            <w:pPr>
              <w:jc w:val="center"/>
              <w:rPr>
                <w:b/>
              </w:rPr>
            </w:pPr>
            <w:r>
              <w:rPr>
                <w:b/>
              </w:rPr>
              <w:t>Evidence</w:t>
            </w:r>
          </w:p>
        </w:tc>
        <w:tc>
          <w:tcPr>
            <w:tcW w:w="4788" w:type="dxa"/>
            <w:vAlign w:val="center"/>
          </w:tcPr>
          <w:p w14:paraId="14538756" w14:textId="77777777" w:rsidR="00F32CB1" w:rsidRPr="00FA2847" w:rsidRDefault="00F32CB1" w:rsidP="00757411">
            <w:pPr>
              <w:jc w:val="center"/>
              <w:rPr>
                <w:b/>
                <w:sz w:val="20"/>
                <w:szCs w:val="20"/>
              </w:rPr>
            </w:pPr>
            <w:r w:rsidRPr="00FA2847">
              <w:rPr>
                <w:b/>
                <w:sz w:val="20"/>
                <w:szCs w:val="20"/>
              </w:rPr>
              <w:t>Analysis: Explanation/ Rationale of Assertions Supported by Evidence</w:t>
            </w:r>
          </w:p>
        </w:tc>
        <w:tc>
          <w:tcPr>
            <w:tcW w:w="1218" w:type="dxa"/>
            <w:vAlign w:val="center"/>
          </w:tcPr>
          <w:p w14:paraId="637BB100" w14:textId="77777777" w:rsidR="00F32CB1" w:rsidRDefault="00F32CB1" w:rsidP="00757411">
            <w:pPr>
              <w:jc w:val="center"/>
              <w:rPr>
                <w:b/>
              </w:rPr>
            </w:pPr>
            <w:r w:rsidRPr="00087C33">
              <w:rPr>
                <w:b/>
              </w:rPr>
              <w:t>Overall</w:t>
            </w:r>
          </w:p>
          <w:p w14:paraId="1B424723" w14:textId="77777777" w:rsidR="00F32CB1" w:rsidRPr="00087C33" w:rsidRDefault="00F32CB1" w:rsidP="00757411">
            <w:pPr>
              <w:jc w:val="center"/>
              <w:rPr>
                <w:b/>
              </w:rPr>
            </w:pPr>
            <w:r w:rsidRPr="00087C33">
              <w:rPr>
                <w:b/>
              </w:rPr>
              <w:t>Judgment</w:t>
            </w:r>
          </w:p>
        </w:tc>
        <w:tc>
          <w:tcPr>
            <w:tcW w:w="2104" w:type="dxa"/>
            <w:vAlign w:val="center"/>
          </w:tcPr>
          <w:p w14:paraId="58AFC009" w14:textId="77777777" w:rsidR="00F32CB1" w:rsidRPr="00087C33" w:rsidRDefault="00F32CB1" w:rsidP="00757411">
            <w:pPr>
              <w:jc w:val="center"/>
              <w:rPr>
                <w:b/>
              </w:rPr>
            </w:pPr>
            <w:r>
              <w:rPr>
                <w:b/>
              </w:rPr>
              <w:t>Comments</w:t>
            </w:r>
          </w:p>
        </w:tc>
      </w:tr>
      <w:tr w:rsidR="00A638DE" w14:paraId="15BE27BF" w14:textId="77777777" w:rsidTr="003965F7">
        <w:tc>
          <w:tcPr>
            <w:tcW w:w="2089" w:type="dxa"/>
          </w:tcPr>
          <w:p w14:paraId="317FFD31" w14:textId="77777777" w:rsidR="00F32CB1" w:rsidRDefault="00F32CB1" w:rsidP="00757411">
            <w:pPr>
              <w:ind w:left="180" w:hanging="180"/>
            </w:pPr>
            <w:r>
              <w:t>1. What does the unit do?</w:t>
            </w:r>
          </w:p>
          <w:p w14:paraId="16211D44" w14:textId="77777777" w:rsidR="00F32CB1" w:rsidRDefault="00F32CB1" w:rsidP="00757411">
            <w:pPr>
              <w:ind w:left="180" w:hanging="180"/>
            </w:pPr>
          </w:p>
        </w:tc>
        <w:tc>
          <w:tcPr>
            <w:tcW w:w="2585" w:type="dxa"/>
          </w:tcPr>
          <w:p w14:paraId="0F6C72BA" w14:textId="42B730D3" w:rsidR="00F32CB1" w:rsidRDefault="00C63F21" w:rsidP="00757411">
            <w:r>
              <w:rPr>
                <w:color w:val="000000"/>
                <w:sz w:val="27"/>
                <w:szCs w:val="27"/>
              </w:rPr>
              <w:t>ACCEPTED WITHOUT RECOMMENDATIONS</w:t>
            </w:r>
          </w:p>
        </w:tc>
        <w:tc>
          <w:tcPr>
            <w:tcW w:w="1521" w:type="dxa"/>
            <w:shd w:val="clear" w:color="auto" w:fill="808080" w:themeFill="background1" w:themeFillShade="80"/>
          </w:tcPr>
          <w:p w14:paraId="4E7A05D0" w14:textId="77777777" w:rsidR="00F32CB1" w:rsidRDefault="00F32CB1" w:rsidP="00757411"/>
        </w:tc>
        <w:tc>
          <w:tcPr>
            <w:tcW w:w="4788" w:type="dxa"/>
            <w:shd w:val="clear" w:color="auto" w:fill="808080" w:themeFill="background1" w:themeFillShade="80"/>
          </w:tcPr>
          <w:p w14:paraId="3A3DD7E7" w14:textId="77777777" w:rsidR="00F32CB1" w:rsidRDefault="00F32CB1" w:rsidP="00757411"/>
        </w:tc>
        <w:tc>
          <w:tcPr>
            <w:tcW w:w="1218" w:type="dxa"/>
          </w:tcPr>
          <w:p w14:paraId="71907C80" w14:textId="2E44F732" w:rsidR="00F32CB1" w:rsidRDefault="00C63F21" w:rsidP="00757411">
            <w:r>
              <w:t>Approved</w:t>
            </w:r>
          </w:p>
        </w:tc>
        <w:tc>
          <w:tcPr>
            <w:tcW w:w="2104" w:type="dxa"/>
          </w:tcPr>
          <w:p w14:paraId="4F05348F" w14:textId="25087C4A" w:rsidR="00F32CB1" w:rsidRDefault="00C63F21" w:rsidP="00757411">
            <w:r>
              <w:t xml:space="preserve">Carefully and clearly explained in detail </w:t>
            </w:r>
          </w:p>
        </w:tc>
      </w:tr>
      <w:tr w:rsidR="00A638DE" w14:paraId="3BBEA134" w14:textId="77777777" w:rsidTr="003965F7">
        <w:tc>
          <w:tcPr>
            <w:tcW w:w="2089" w:type="dxa"/>
          </w:tcPr>
          <w:p w14:paraId="3B077D0A" w14:textId="77777777" w:rsidR="00F32CB1" w:rsidRDefault="00F32CB1" w:rsidP="006855C6">
            <w:pPr>
              <w:ind w:left="180" w:hanging="180"/>
            </w:pPr>
            <w:r>
              <w:t xml:space="preserve">2. </w:t>
            </w:r>
            <w:r w:rsidR="005F2368">
              <w:t>What is t</w:t>
            </w:r>
            <w:r>
              <w:t>he unit’s relationship</w:t>
            </w:r>
            <w:r w:rsidRPr="00604216">
              <w:t xml:space="preserve"> </w:t>
            </w:r>
            <w:proofErr w:type="gramStart"/>
            <w:r>
              <w:t>to</w:t>
            </w:r>
            <w:proofErr w:type="gramEnd"/>
            <w:r>
              <w:t xml:space="preserve"> the college mission</w:t>
            </w:r>
            <w:r w:rsidR="005F2368">
              <w:t xml:space="preserve"> &amp; strategic plan?</w:t>
            </w:r>
          </w:p>
        </w:tc>
        <w:tc>
          <w:tcPr>
            <w:tcW w:w="2585" w:type="dxa"/>
          </w:tcPr>
          <w:p w14:paraId="2954BA62" w14:textId="606A2E91" w:rsidR="00F32CB1" w:rsidRDefault="00C63F21" w:rsidP="00757411">
            <w:r>
              <w:rPr>
                <w:color w:val="000000"/>
                <w:sz w:val="27"/>
                <w:szCs w:val="27"/>
              </w:rPr>
              <w:t>ACCEPTED WITHOUT RECOMMENDATIONS</w:t>
            </w:r>
          </w:p>
        </w:tc>
        <w:tc>
          <w:tcPr>
            <w:tcW w:w="1521" w:type="dxa"/>
          </w:tcPr>
          <w:p w14:paraId="327EFB99" w14:textId="59A9E079" w:rsidR="00F32CB1" w:rsidRDefault="00F24C67" w:rsidP="00757411">
            <w:r>
              <w:rPr>
                <w:color w:val="000000"/>
                <w:sz w:val="27"/>
                <w:szCs w:val="27"/>
              </w:rPr>
              <w:t>CE provides affordable and accessible career and skills training.</w:t>
            </w:r>
          </w:p>
        </w:tc>
        <w:tc>
          <w:tcPr>
            <w:tcW w:w="4788" w:type="dxa"/>
          </w:tcPr>
          <w:p w14:paraId="4C86E6B0" w14:textId="7DA4B3F2" w:rsidR="00F32CB1" w:rsidRDefault="00F24C67" w:rsidP="00757411">
            <w:r>
              <w:rPr>
                <w:color w:val="000000"/>
                <w:sz w:val="27"/>
                <w:szCs w:val="27"/>
              </w:rPr>
              <w:t>Since the fall of 2019, CE has expanded programming opportunities to optimize the use of facilities on the new technical campus. CE has added Welding (2 courses), Automotive (6 courses), and Drone Pilot (2 courses). Additionally, CE has added Baking (2 courses) to the Frisco campus.</w:t>
            </w:r>
          </w:p>
        </w:tc>
        <w:tc>
          <w:tcPr>
            <w:tcW w:w="1218" w:type="dxa"/>
          </w:tcPr>
          <w:p w14:paraId="6E4CBA10" w14:textId="1917B85F" w:rsidR="00F32CB1" w:rsidRDefault="00C63F21" w:rsidP="00757411">
            <w:r>
              <w:t>Approved</w:t>
            </w:r>
          </w:p>
        </w:tc>
        <w:tc>
          <w:tcPr>
            <w:tcW w:w="2104" w:type="dxa"/>
          </w:tcPr>
          <w:p w14:paraId="108AE6A2" w14:textId="77777777" w:rsidR="00F32CB1" w:rsidRDefault="00F32CB1" w:rsidP="00757411"/>
        </w:tc>
      </w:tr>
      <w:tr w:rsidR="00A638DE" w14:paraId="713DF4CE" w14:textId="77777777" w:rsidTr="003965F7">
        <w:tc>
          <w:tcPr>
            <w:tcW w:w="2089" w:type="dxa"/>
          </w:tcPr>
          <w:p w14:paraId="1B3B2541" w14:textId="77777777" w:rsidR="00F32CB1" w:rsidRDefault="00F32CB1" w:rsidP="00757411">
            <w:pPr>
              <w:ind w:left="180" w:hanging="180"/>
            </w:pPr>
            <w:r>
              <w:lastRenderedPageBreak/>
              <w:t>3. Why are the unit processes done?</w:t>
            </w:r>
          </w:p>
        </w:tc>
        <w:tc>
          <w:tcPr>
            <w:tcW w:w="2585" w:type="dxa"/>
          </w:tcPr>
          <w:p w14:paraId="4710EE87" w14:textId="171E928A" w:rsidR="00F32CB1" w:rsidRDefault="00C63F21" w:rsidP="00757411">
            <w:r>
              <w:rPr>
                <w:color w:val="000000"/>
                <w:sz w:val="27"/>
                <w:szCs w:val="27"/>
              </w:rPr>
              <w:t>ACCEPTED WITHOUT RECOMMENDATIONS</w:t>
            </w:r>
          </w:p>
        </w:tc>
        <w:tc>
          <w:tcPr>
            <w:tcW w:w="1521" w:type="dxa"/>
          </w:tcPr>
          <w:p w14:paraId="6F9B888E" w14:textId="3A175DC4" w:rsidR="00F32CB1" w:rsidRDefault="00E24D4D" w:rsidP="00757411">
            <w:r>
              <w:rPr>
                <w:color w:val="000000"/>
                <w:sz w:val="27"/>
                <w:szCs w:val="27"/>
              </w:rPr>
              <w:t>CE’s tuition pricing structure is calculated on careful break-even analysis, desired profit margin, and market research.</w:t>
            </w:r>
          </w:p>
        </w:tc>
        <w:tc>
          <w:tcPr>
            <w:tcW w:w="4788" w:type="dxa"/>
          </w:tcPr>
          <w:p w14:paraId="3CD2B5C8" w14:textId="0119F291" w:rsidR="00F32CB1" w:rsidRDefault="00E24D4D" w:rsidP="00757411">
            <w:r>
              <w:rPr>
                <w:color w:val="000000"/>
                <w:sz w:val="27"/>
                <w:szCs w:val="27"/>
              </w:rPr>
              <w:t>The purpose of CE programming is to offer a variety of competitively priced workforce and personal enrichment programming to the Collin County community and beyond and at the same time generate an unrestricted revenue stream for Collin College</w:t>
            </w:r>
          </w:p>
        </w:tc>
        <w:tc>
          <w:tcPr>
            <w:tcW w:w="1218" w:type="dxa"/>
          </w:tcPr>
          <w:p w14:paraId="7A949FC8" w14:textId="34EED232" w:rsidR="00F32CB1" w:rsidRDefault="00C63F21" w:rsidP="00757411">
            <w:r>
              <w:t>Approved</w:t>
            </w:r>
          </w:p>
        </w:tc>
        <w:tc>
          <w:tcPr>
            <w:tcW w:w="2104" w:type="dxa"/>
          </w:tcPr>
          <w:p w14:paraId="32C2AB9A" w14:textId="245B5E80" w:rsidR="00F32CB1" w:rsidRDefault="00C63F21" w:rsidP="00757411">
            <w:r>
              <w:t>To make money and provide affordable CE courses to the community</w:t>
            </w:r>
          </w:p>
        </w:tc>
      </w:tr>
      <w:tr w:rsidR="00A638DE" w14:paraId="235156A1" w14:textId="77777777" w:rsidTr="003965F7">
        <w:tc>
          <w:tcPr>
            <w:tcW w:w="2089" w:type="dxa"/>
          </w:tcPr>
          <w:p w14:paraId="70E57613" w14:textId="77777777" w:rsidR="00F32CB1" w:rsidRDefault="00F32CB1" w:rsidP="00757411">
            <w:pPr>
              <w:ind w:left="180" w:hanging="180"/>
            </w:pPr>
            <w:r>
              <w:t>4. How does the unit impact student outcomes?</w:t>
            </w:r>
          </w:p>
        </w:tc>
        <w:tc>
          <w:tcPr>
            <w:tcW w:w="2585" w:type="dxa"/>
          </w:tcPr>
          <w:p w14:paraId="2DEF9ED4" w14:textId="091AEB85" w:rsidR="00F32CB1" w:rsidRDefault="00F24C67" w:rsidP="00757411">
            <w:r>
              <w:rPr>
                <w:color w:val="000000"/>
                <w:sz w:val="27"/>
                <w:szCs w:val="27"/>
              </w:rPr>
              <w:t>ACCEPTED WITHOUT RECOMMENDATIONS</w:t>
            </w:r>
          </w:p>
        </w:tc>
        <w:tc>
          <w:tcPr>
            <w:tcW w:w="1521" w:type="dxa"/>
          </w:tcPr>
          <w:p w14:paraId="5CAD0275" w14:textId="333C5E21" w:rsidR="00F32CB1" w:rsidRDefault="00F24C67" w:rsidP="00757411">
            <w:r>
              <w:rPr>
                <w:color w:val="000000"/>
                <w:sz w:val="27"/>
                <w:szCs w:val="27"/>
              </w:rPr>
              <w:t>Instructors share their expertise and knowledge, ensuring students are provided with information on current trends and skills needed in today’s workforce.</w:t>
            </w:r>
          </w:p>
        </w:tc>
        <w:tc>
          <w:tcPr>
            <w:tcW w:w="4788" w:type="dxa"/>
          </w:tcPr>
          <w:p w14:paraId="74441B5E" w14:textId="08118302" w:rsidR="00F32CB1" w:rsidRDefault="00F24C67" w:rsidP="00757411">
            <w:r>
              <w:rPr>
                <w:color w:val="000000"/>
                <w:sz w:val="27"/>
                <w:szCs w:val="27"/>
              </w:rPr>
              <w:t>In collaboration with Facilities Management and the Collin Police Department we provide a secure structure, organized classrooms, and on-site patrol protection.</w:t>
            </w:r>
          </w:p>
        </w:tc>
        <w:tc>
          <w:tcPr>
            <w:tcW w:w="1218" w:type="dxa"/>
          </w:tcPr>
          <w:p w14:paraId="73DACF52" w14:textId="1FE8727C" w:rsidR="00F32CB1" w:rsidRDefault="00F24C67" w:rsidP="00757411">
            <w:r>
              <w:t>Approved</w:t>
            </w:r>
          </w:p>
        </w:tc>
        <w:tc>
          <w:tcPr>
            <w:tcW w:w="2104" w:type="dxa"/>
          </w:tcPr>
          <w:p w14:paraId="2C506577" w14:textId="5B9BCD49" w:rsidR="00F32CB1" w:rsidRDefault="00F24C67" w:rsidP="00757411">
            <w:r>
              <w:t xml:space="preserve">This one was a little tricky. It could have been more detailed but I’m not sure what could have been added. </w:t>
            </w:r>
          </w:p>
        </w:tc>
      </w:tr>
      <w:tr w:rsidR="00A638DE" w14:paraId="4BC8EAF8" w14:textId="77777777" w:rsidTr="003965F7">
        <w:tc>
          <w:tcPr>
            <w:tcW w:w="2089" w:type="dxa"/>
          </w:tcPr>
          <w:p w14:paraId="02753483" w14:textId="77777777" w:rsidR="00F32CB1" w:rsidRDefault="00F32CB1" w:rsidP="00757411">
            <w:pPr>
              <w:ind w:left="180" w:hanging="180"/>
            </w:pPr>
            <w:r>
              <w:lastRenderedPageBreak/>
              <w:t>5</w:t>
            </w:r>
            <w:proofErr w:type="gramStart"/>
            <w:r>
              <w:t>.  How</w:t>
            </w:r>
            <w:proofErr w:type="gramEnd"/>
            <w:r>
              <w:t xml:space="preserve"> effectively does the unit communicate?</w:t>
            </w:r>
          </w:p>
        </w:tc>
        <w:tc>
          <w:tcPr>
            <w:tcW w:w="2585" w:type="dxa"/>
            <w:shd w:val="clear" w:color="auto" w:fill="auto"/>
          </w:tcPr>
          <w:p w14:paraId="656C26C8" w14:textId="0695E274" w:rsidR="00F32CB1" w:rsidRDefault="00E24D4D" w:rsidP="00757411">
            <w:r>
              <w:rPr>
                <w:color w:val="000000"/>
                <w:sz w:val="27"/>
                <w:szCs w:val="27"/>
              </w:rPr>
              <w:t>ACCEPTED WITHOUT RECOMMENDATIONS</w:t>
            </w:r>
          </w:p>
        </w:tc>
        <w:tc>
          <w:tcPr>
            <w:tcW w:w="1521" w:type="dxa"/>
            <w:shd w:val="clear" w:color="auto" w:fill="auto"/>
          </w:tcPr>
          <w:p w14:paraId="0118B269" w14:textId="4C577924" w:rsidR="00F32CB1" w:rsidRDefault="003965F7" w:rsidP="00757411">
            <w:proofErr w:type="gramStart"/>
            <w:r>
              <w:t>Website needs</w:t>
            </w:r>
            <w:proofErr w:type="gramEnd"/>
            <w:r>
              <w:t xml:space="preserve"> work and they need more staff to increase revenue</w:t>
            </w:r>
          </w:p>
        </w:tc>
        <w:tc>
          <w:tcPr>
            <w:tcW w:w="4788" w:type="dxa"/>
            <w:shd w:val="clear" w:color="auto" w:fill="auto"/>
          </w:tcPr>
          <w:p w14:paraId="2B8111E7" w14:textId="0CBC7D4B" w:rsidR="00F32CB1" w:rsidRDefault="003965F7" w:rsidP="00757411">
            <w:r>
              <w:rPr>
                <w:color w:val="000000"/>
                <w:sz w:val="27"/>
                <w:szCs w:val="27"/>
              </w:rPr>
              <w:t xml:space="preserve">Website Content Managers are the CE Directors and SAIL Director, who work closely with Collin College’s Web Communications team to ensure that web page content is updated and current. The Directors are responsible for regularly reviewing and editing content for accuracy, relevance, and consistency to ensure that the program aligns with the broad branding and marketing strategies of Collin College. CE and </w:t>
            </w:r>
            <w:r>
              <w:rPr>
                <w:color w:val="000000"/>
                <w:sz w:val="27"/>
                <w:szCs w:val="27"/>
              </w:rPr>
              <w:lastRenderedPageBreak/>
              <w:t>SAIL Directors can update some content on their web pages.</w:t>
            </w:r>
          </w:p>
        </w:tc>
        <w:tc>
          <w:tcPr>
            <w:tcW w:w="1218" w:type="dxa"/>
            <w:shd w:val="clear" w:color="auto" w:fill="auto"/>
          </w:tcPr>
          <w:p w14:paraId="1198A7C2" w14:textId="3AAD9622" w:rsidR="00F32CB1" w:rsidRDefault="00E24D4D" w:rsidP="00757411">
            <w:r>
              <w:lastRenderedPageBreak/>
              <w:t>Approved</w:t>
            </w:r>
          </w:p>
        </w:tc>
        <w:tc>
          <w:tcPr>
            <w:tcW w:w="2104" w:type="dxa"/>
          </w:tcPr>
          <w:p w14:paraId="28687E7B" w14:textId="1AB2B5E1" w:rsidR="00F32CB1" w:rsidRDefault="00E24D4D" w:rsidP="00757411">
            <w:r>
              <w:t>Detailed and thorough</w:t>
            </w:r>
          </w:p>
        </w:tc>
      </w:tr>
      <w:tr w:rsidR="00A638DE" w14:paraId="5E6A41AB" w14:textId="77777777" w:rsidTr="003965F7">
        <w:tc>
          <w:tcPr>
            <w:tcW w:w="2089" w:type="dxa"/>
          </w:tcPr>
          <w:p w14:paraId="75EB09B7" w14:textId="77777777" w:rsidR="00F32CB1" w:rsidRDefault="00F32CB1" w:rsidP="006855C6">
            <w:pPr>
              <w:ind w:left="180" w:hanging="180"/>
            </w:pPr>
            <w:r>
              <w:t xml:space="preserve">6. Does the unit </w:t>
            </w:r>
            <w:r w:rsidR="006855C6">
              <w:t>build and</w:t>
            </w:r>
            <w:r>
              <w:t xml:space="preserve"> leverage partnership</w:t>
            </w:r>
            <w:r w:rsidR="006855C6">
              <w:t>s</w:t>
            </w:r>
            <w:r>
              <w:t>?</w:t>
            </w:r>
          </w:p>
        </w:tc>
        <w:tc>
          <w:tcPr>
            <w:tcW w:w="2585" w:type="dxa"/>
          </w:tcPr>
          <w:p w14:paraId="54E09CED" w14:textId="0E31F903" w:rsidR="00F32CB1" w:rsidRDefault="00E24D4D" w:rsidP="00757411">
            <w:r>
              <w:t>ACCEPTED WITH</w:t>
            </w:r>
            <w:r w:rsidR="00A638DE">
              <w:t xml:space="preserve">OUT </w:t>
            </w:r>
            <w:r>
              <w:t xml:space="preserve">RECOMMENDATIONS </w:t>
            </w:r>
          </w:p>
        </w:tc>
        <w:tc>
          <w:tcPr>
            <w:tcW w:w="1521" w:type="dxa"/>
          </w:tcPr>
          <w:p w14:paraId="47F11C38" w14:textId="32B86902" w:rsidR="00F32CB1" w:rsidRPr="003965F7" w:rsidRDefault="001E2406" w:rsidP="00757411">
            <w:r>
              <w:rPr>
                <w:color w:val="000000"/>
                <w:sz w:val="27"/>
                <w:szCs w:val="27"/>
              </w:rPr>
              <w:t xml:space="preserve">CE also works with third-party vendors such as Harrington, R&amp;B Trucking, Ed2Go, and Cengage. Harrington delivers Montessori </w:t>
            </w:r>
            <w:proofErr w:type="gramStart"/>
            <w:r>
              <w:rPr>
                <w:color w:val="000000"/>
                <w:sz w:val="27"/>
                <w:szCs w:val="27"/>
              </w:rPr>
              <w:t>courses,</w:t>
            </w:r>
            <w:proofErr w:type="gramEnd"/>
            <w:r>
              <w:rPr>
                <w:color w:val="000000"/>
                <w:sz w:val="27"/>
                <w:szCs w:val="27"/>
              </w:rPr>
              <w:t xml:space="preserve"> R&amp;B trucking provides comprehensive training so that students may earn their commercial driver’s licenses. Ed2Go offers a variety of online self-paced, and instructor-led courses, and Cengage offers online career courses. Please refer to https://www.collin.edu/ce/classes/online for courses offered by Ed2Go and Cengage</w:t>
            </w:r>
          </w:p>
        </w:tc>
        <w:tc>
          <w:tcPr>
            <w:tcW w:w="4788" w:type="dxa"/>
          </w:tcPr>
          <w:p w14:paraId="07D46E4F" w14:textId="2F4F4F0D" w:rsidR="00F32CB1" w:rsidRDefault="001E2406" w:rsidP="00757411">
            <w:r w:rsidRPr="003965F7">
              <w:t>Police, facilities management, external companies, Writing</w:t>
            </w:r>
            <w:r>
              <w:t xml:space="preserve"> Lab, Texas Colleges, CE </w:t>
            </w:r>
            <w:proofErr w:type="gramStart"/>
            <w:r>
              <w:t>Grants,</w:t>
            </w:r>
            <w:r w:rsidR="00E24D4D">
              <w:rPr>
                <w:color w:val="000000"/>
                <w:sz w:val="27"/>
                <w:szCs w:val="27"/>
              </w:rPr>
              <w:t>.</w:t>
            </w:r>
            <w:proofErr w:type="gramEnd"/>
          </w:p>
        </w:tc>
        <w:tc>
          <w:tcPr>
            <w:tcW w:w="1218" w:type="dxa"/>
          </w:tcPr>
          <w:p w14:paraId="7B9877A1" w14:textId="5956A1DB" w:rsidR="00F32CB1" w:rsidRDefault="00F32CB1" w:rsidP="00757411"/>
        </w:tc>
        <w:tc>
          <w:tcPr>
            <w:tcW w:w="2104" w:type="dxa"/>
          </w:tcPr>
          <w:p w14:paraId="23325EC4" w14:textId="261AF8B0" w:rsidR="00F32CB1" w:rsidRDefault="00E24D4D" w:rsidP="00757411">
            <w:r>
              <w:t xml:space="preserve">More detail on this would be helpful. How do they partner, do they hire afterwards? What do these relationships look like? Internships? Speaker series? </w:t>
            </w:r>
          </w:p>
        </w:tc>
      </w:tr>
      <w:tr w:rsidR="00A638DE" w14:paraId="447D9487" w14:textId="77777777" w:rsidTr="003965F7">
        <w:tc>
          <w:tcPr>
            <w:tcW w:w="2089" w:type="dxa"/>
          </w:tcPr>
          <w:p w14:paraId="2D662D5D" w14:textId="77777777" w:rsidR="00F32CB1" w:rsidRDefault="00F32CB1" w:rsidP="006855C6">
            <w:pPr>
              <w:ind w:left="180" w:hanging="180"/>
            </w:pPr>
            <w:r>
              <w:t xml:space="preserve">7. </w:t>
            </w:r>
            <w:r w:rsidR="005F2368">
              <w:t>Are staff supported with</w:t>
            </w:r>
            <w:r>
              <w:t xml:space="preserve"> professional development?</w:t>
            </w:r>
          </w:p>
        </w:tc>
        <w:tc>
          <w:tcPr>
            <w:tcW w:w="2585" w:type="dxa"/>
          </w:tcPr>
          <w:p w14:paraId="43E7265F" w14:textId="018D5D9C" w:rsidR="00F32CB1" w:rsidRDefault="003965F7" w:rsidP="00757411">
            <w:r>
              <w:t>A</w:t>
            </w:r>
            <w:r w:rsidR="00163C00">
              <w:t>CCEPTED</w:t>
            </w:r>
            <w:r>
              <w:t xml:space="preserve"> WITHOUT RECOMMENDATIONS </w:t>
            </w:r>
          </w:p>
        </w:tc>
        <w:tc>
          <w:tcPr>
            <w:tcW w:w="1521" w:type="dxa"/>
          </w:tcPr>
          <w:p w14:paraId="15B7DF55" w14:textId="60233C1F" w:rsidR="00F32CB1" w:rsidRDefault="001E2406" w:rsidP="00757411">
            <w:r>
              <w:t xml:space="preserve">10-page appendix of PD attached </w:t>
            </w:r>
          </w:p>
        </w:tc>
        <w:tc>
          <w:tcPr>
            <w:tcW w:w="4788" w:type="dxa"/>
          </w:tcPr>
          <w:p w14:paraId="49FF8B08" w14:textId="4FFCD55F" w:rsidR="00F32CB1" w:rsidRDefault="001E2406" w:rsidP="00757411">
            <w:r>
              <w:t xml:space="preserve">Many PD opportunities have been documented </w:t>
            </w:r>
            <w:r w:rsidR="003965F7">
              <w:t xml:space="preserve"> </w:t>
            </w:r>
          </w:p>
        </w:tc>
        <w:tc>
          <w:tcPr>
            <w:tcW w:w="1218" w:type="dxa"/>
          </w:tcPr>
          <w:p w14:paraId="6B8592DC" w14:textId="20849436" w:rsidR="00F32CB1" w:rsidRDefault="003965F7" w:rsidP="00757411">
            <w:r>
              <w:t xml:space="preserve">Approved </w:t>
            </w:r>
          </w:p>
        </w:tc>
        <w:tc>
          <w:tcPr>
            <w:tcW w:w="2104" w:type="dxa"/>
          </w:tcPr>
          <w:p w14:paraId="7E6003C5" w14:textId="4D0C4A55" w:rsidR="00F32CB1" w:rsidRDefault="003965F7" w:rsidP="00757411">
            <w:r>
              <w:t xml:space="preserve">Thorough </w:t>
            </w:r>
          </w:p>
        </w:tc>
      </w:tr>
      <w:tr w:rsidR="00A638DE" w14:paraId="6577472E" w14:textId="77777777" w:rsidTr="003965F7">
        <w:tc>
          <w:tcPr>
            <w:tcW w:w="2089" w:type="dxa"/>
          </w:tcPr>
          <w:p w14:paraId="20B7D18B" w14:textId="77777777" w:rsidR="00F32CB1" w:rsidRDefault="00F32CB1" w:rsidP="00757411">
            <w:pPr>
              <w:ind w:left="180" w:hanging="180"/>
            </w:pPr>
            <w:r>
              <w:t xml:space="preserve">8. </w:t>
            </w:r>
            <w:r w:rsidR="006855C6">
              <w:t xml:space="preserve">[Optional] </w:t>
            </w:r>
            <w:r>
              <w:t xml:space="preserve">Does the unit have sufficient </w:t>
            </w:r>
            <w:r w:rsidR="005F2368">
              <w:t>facilities and equipment</w:t>
            </w:r>
            <w:r>
              <w:t>?</w:t>
            </w:r>
          </w:p>
        </w:tc>
        <w:tc>
          <w:tcPr>
            <w:tcW w:w="2585" w:type="dxa"/>
            <w:shd w:val="clear" w:color="auto" w:fill="808080" w:themeFill="background1" w:themeFillShade="80"/>
          </w:tcPr>
          <w:p w14:paraId="46EE7472" w14:textId="77777777" w:rsidR="00F32CB1" w:rsidRDefault="00F32CB1" w:rsidP="00757411"/>
        </w:tc>
        <w:tc>
          <w:tcPr>
            <w:tcW w:w="1521" w:type="dxa"/>
            <w:shd w:val="clear" w:color="auto" w:fill="808080" w:themeFill="background1" w:themeFillShade="80"/>
          </w:tcPr>
          <w:p w14:paraId="44F62709" w14:textId="77777777" w:rsidR="00F32CB1" w:rsidRDefault="00F32CB1" w:rsidP="00757411"/>
        </w:tc>
        <w:tc>
          <w:tcPr>
            <w:tcW w:w="4788" w:type="dxa"/>
            <w:shd w:val="clear" w:color="auto" w:fill="808080" w:themeFill="background1" w:themeFillShade="80"/>
          </w:tcPr>
          <w:p w14:paraId="32445425" w14:textId="77777777" w:rsidR="00F32CB1" w:rsidRDefault="00F32CB1" w:rsidP="00757411"/>
        </w:tc>
        <w:tc>
          <w:tcPr>
            <w:tcW w:w="1218" w:type="dxa"/>
            <w:shd w:val="clear" w:color="auto" w:fill="808080" w:themeFill="background1" w:themeFillShade="80"/>
          </w:tcPr>
          <w:p w14:paraId="025CDB0C" w14:textId="77777777" w:rsidR="00F32CB1" w:rsidRDefault="00F32CB1" w:rsidP="00757411"/>
        </w:tc>
        <w:tc>
          <w:tcPr>
            <w:tcW w:w="2104" w:type="dxa"/>
          </w:tcPr>
          <w:p w14:paraId="3F4C1966" w14:textId="77777777" w:rsidR="00F32CB1" w:rsidRDefault="00F32CB1" w:rsidP="00757411"/>
        </w:tc>
      </w:tr>
      <w:tr w:rsidR="00A638DE" w14:paraId="00D7A9ED" w14:textId="77777777" w:rsidTr="003965F7">
        <w:tc>
          <w:tcPr>
            <w:tcW w:w="2089" w:type="dxa"/>
          </w:tcPr>
          <w:p w14:paraId="2BF29A7C" w14:textId="77777777" w:rsidR="003965F7" w:rsidRDefault="003965F7" w:rsidP="003965F7">
            <w:pPr>
              <w:ind w:left="180" w:hanging="180"/>
            </w:pPr>
            <w:r>
              <w:lastRenderedPageBreak/>
              <w:t>9. How have past CIPs contributed to success?</w:t>
            </w:r>
          </w:p>
        </w:tc>
        <w:tc>
          <w:tcPr>
            <w:tcW w:w="2585" w:type="dxa"/>
          </w:tcPr>
          <w:p w14:paraId="151D5AAB" w14:textId="05986D1D" w:rsidR="003965F7" w:rsidRDefault="003965F7" w:rsidP="003965F7">
            <w:r>
              <w:t>A</w:t>
            </w:r>
            <w:r w:rsidR="00163C00">
              <w:t>CCEPTED</w:t>
            </w:r>
            <w:r>
              <w:t xml:space="preserve"> WITH</w:t>
            </w:r>
            <w:r w:rsidR="00A638DE">
              <w:t xml:space="preserve"> REQUIRED </w:t>
            </w:r>
            <w:r>
              <w:t xml:space="preserve">RECOMMENDATIONS </w:t>
            </w:r>
          </w:p>
        </w:tc>
        <w:tc>
          <w:tcPr>
            <w:tcW w:w="1521" w:type="dxa"/>
          </w:tcPr>
          <w:p w14:paraId="222C20DF" w14:textId="5E6CECA2" w:rsidR="003965F7" w:rsidRDefault="001E2406" w:rsidP="003965F7">
            <w:r>
              <w:rPr>
                <w:color w:val="000000"/>
                <w:sz w:val="27"/>
                <w:szCs w:val="27"/>
              </w:rPr>
              <w:t>did not exceed 75% of noncredit courses. Students need to complete 25% or more as a credit student in credit programing per certificate or degree plan</w:t>
            </w:r>
          </w:p>
        </w:tc>
        <w:tc>
          <w:tcPr>
            <w:tcW w:w="4788" w:type="dxa"/>
          </w:tcPr>
          <w:p w14:paraId="11F5E12F" w14:textId="32045101" w:rsidR="003965F7" w:rsidRDefault="001E2406" w:rsidP="003965F7">
            <w:r>
              <w:rPr>
                <w:color w:val="000000"/>
                <w:sz w:val="27"/>
                <w:szCs w:val="27"/>
              </w:rPr>
              <w:t>CE attempted to grow its variety of CE-linked to credit courses. Many of the linked courses cited in the CIP were evaluated and taken out of the linked course inventory to ensure that if students want to use their linked course towards Prior Learning Assessment credit,</w:t>
            </w:r>
          </w:p>
        </w:tc>
        <w:tc>
          <w:tcPr>
            <w:tcW w:w="1218" w:type="dxa"/>
          </w:tcPr>
          <w:p w14:paraId="20CC7735" w14:textId="77777777" w:rsidR="003965F7" w:rsidRDefault="003965F7" w:rsidP="003965F7"/>
        </w:tc>
        <w:tc>
          <w:tcPr>
            <w:tcW w:w="2104" w:type="dxa"/>
          </w:tcPr>
          <w:p w14:paraId="5F05E965" w14:textId="77777777" w:rsidR="003965F7" w:rsidRDefault="003965F7" w:rsidP="003965F7"/>
        </w:tc>
      </w:tr>
      <w:tr w:rsidR="00A638DE" w14:paraId="5CB77324" w14:textId="77777777" w:rsidTr="003965F7">
        <w:tc>
          <w:tcPr>
            <w:tcW w:w="2089" w:type="dxa"/>
          </w:tcPr>
          <w:p w14:paraId="6C9EA197" w14:textId="77777777" w:rsidR="003965F7" w:rsidRDefault="003965F7" w:rsidP="003965F7">
            <w:pPr>
              <w:ind w:left="180" w:hanging="180"/>
            </w:pPr>
            <w:r>
              <w:t>10</w:t>
            </w:r>
            <w:proofErr w:type="gramStart"/>
            <w:r>
              <w:t>.  How</w:t>
            </w:r>
            <w:proofErr w:type="gramEnd"/>
            <w:r>
              <w:t xml:space="preserve"> will the unit evaluate its success?</w:t>
            </w:r>
          </w:p>
        </w:tc>
        <w:tc>
          <w:tcPr>
            <w:tcW w:w="2585" w:type="dxa"/>
          </w:tcPr>
          <w:p w14:paraId="1CAA1C6A" w14:textId="13C1076D" w:rsidR="003965F7" w:rsidRDefault="00163C00" w:rsidP="003965F7">
            <w:r>
              <w:t>ACCEPTED</w:t>
            </w:r>
            <w:r w:rsidR="001E2406">
              <w:t xml:space="preserve"> WITHOUT RECOMMENDATIONS </w:t>
            </w:r>
          </w:p>
        </w:tc>
        <w:tc>
          <w:tcPr>
            <w:tcW w:w="1521" w:type="dxa"/>
          </w:tcPr>
          <w:p w14:paraId="4510C595" w14:textId="7E8C18B1" w:rsidR="003965F7" w:rsidRDefault="001E2406" w:rsidP="003965F7">
            <w:r>
              <w:rPr>
                <w:color w:val="000000"/>
                <w:sz w:val="27"/>
                <w:szCs w:val="27"/>
              </w:rPr>
              <w:t xml:space="preserve">Many linked courses originally identified in the CIP are no longer offered at Collin College, such as </w:t>
            </w:r>
            <w:proofErr w:type="gramStart"/>
            <w:r>
              <w:rPr>
                <w:color w:val="000000"/>
                <w:sz w:val="27"/>
                <w:szCs w:val="27"/>
              </w:rPr>
              <w:t>in the area of</w:t>
            </w:r>
            <w:proofErr w:type="gramEnd"/>
            <w:r>
              <w:rPr>
                <w:color w:val="000000"/>
                <w:sz w:val="27"/>
                <w:szCs w:val="27"/>
              </w:rPr>
              <w:t xml:space="preserve"> welding and automotive. Programs like welding and automotive have limited enrollment capacity. Having CE linked courses was not necessary and did not support the cohort model of moving student through credit programming.</w:t>
            </w:r>
          </w:p>
        </w:tc>
        <w:tc>
          <w:tcPr>
            <w:tcW w:w="4788" w:type="dxa"/>
          </w:tcPr>
          <w:p w14:paraId="2F78AC03" w14:textId="3C7EBF90" w:rsidR="003965F7" w:rsidRDefault="001E2406" w:rsidP="003965F7">
            <w:r>
              <w:t xml:space="preserve">Lots of programs no longer available due to not being successful </w:t>
            </w:r>
          </w:p>
        </w:tc>
        <w:tc>
          <w:tcPr>
            <w:tcW w:w="1218" w:type="dxa"/>
          </w:tcPr>
          <w:p w14:paraId="436BC27C" w14:textId="4E7A57A4" w:rsidR="003965F7" w:rsidRDefault="001E2406" w:rsidP="003965F7">
            <w:r>
              <w:t xml:space="preserve">Approved </w:t>
            </w:r>
          </w:p>
        </w:tc>
        <w:tc>
          <w:tcPr>
            <w:tcW w:w="2104" w:type="dxa"/>
          </w:tcPr>
          <w:p w14:paraId="1810EF42" w14:textId="5D92E642" w:rsidR="003965F7" w:rsidRDefault="003965F7" w:rsidP="003965F7"/>
        </w:tc>
      </w:tr>
      <w:tr w:rsidR="00A638DE" w14:paraId="17A2CEEE" w14:textId="77777777" w:rsidTr="003965F7">
        <w:tc>
          <w:tcPr>
            <w:tcW w:w="2089" w:type="dxa"/>
          </w:tcPr>
          <w:p w14:paraId="04C926D1" w14:textId="77777777" w:rsidR="003965F7" w:rsidRDefault="003965F7" w:rsidP="003965F7">
            <w:pPr>
              <w:ind w:left="180" w:hanging="180"/>
            </w:pPr>
            <w:r>
              <w:t xml:space="preserve">11. Future Continuous </w:t>
            </w:r>
            <w:r>
              <w:lastRenderedPageBreak/>
              <w:t>Improvement Plan Tables</w:t>
            </w:r>
          </w:p>
          <w:p w14:paraId="33E2C145" w14:textId="77777777" w:rsidR="003965F7" w:rsidRDefault="003965F7" w:rsidP="003965F7">
            <w:pPr>
              <w:ind w:left="180" w:hanging="180"/>
            </w:pPr>
          </w:p>
        </w:tc>
        <w:tc>
          <w:tcPr>
            <w:tcW w:w="2585" w:type="dxa"/>
          </w:tcPr>
          <w:p w14:paraId="1D1D4764" w14:textId="34B6C0FE" w:rsidR="003965F7" w:rsidRDefault="00163C00" w:rsidP="003965F7">
            <w:r>
              <w:lastRenderedPageBreak/>
              <w:t>ACCEPTED WITH</w:t>
            </w:r>
            <w:r w:rsidR="00CD6DB0">
              <w:t xml:space="preserve"> </w:t>
            </w:r>
            <w:r w:rsidR="00A638DE">
              <w:t xml:space="preserve">REQUIED </w:t>
            </w:r>
            <w:r>
              <w:t>RECOMMENDATIONS</w:t>
            </w:r>
          </w:p>
        </w:tc>
        <w:tc>
          <w:tcPr>
            <w:tcW w:w="1521" w:type="dxa"/>
            <w:shd w:val="clear" w:color="auto" w:fill="808080" w:themeFill="background1" w:themeFillShade="80"/>
          </w:tcPr>
          <w:p w14:paraId="07487A35" w14:textId="77777777" w:rsidR="003965F7" w:rsidRDefault="003965F7" w:rsidP="003965F7"/>
        </w:tc>
        <w:tc>
          <w:tcPr>
            <w:tcW w:w="4788" w:type="dxa"/>
            <w:shd w:val="clear" w:color="auto" w:fill="808080" w:themeFill="background1" w:themeFillShade="80"/>
          </w:tcPr>
          <w:p w14:paraId="0285038C" w14:textId="77777777" w:rsidR="003965F7" w:rsidRDefault="003965F7" w:rsidP="003965F7"/>
        </w:tc>
        <w:tc>
          <w:tcPr>
            <w:tcW w:w="1218" w:type="dxa"/>
          </w:tcPr>
          <w:p w14:paraId="43E5BF7E" w14:textId="4AE37B3E" w:rsidR="003965F7" w:rsidRDefault="00CD6DB0" w:rsidP="003965F7">
            <w:r>
              <w:t xml:space="preserve">Complete tables and </w:t>
            </w:r>
            <w:r>
              <w:lastRenderedPageBreak/>
              <w:t xml:space="preserve">provide missing/more information in CIP tables </w:t>
            </w:r>
          </w:p>
        </w:tc>
        <w:tc>
          <w:tcPr>
            <w:tcW w:w="2104" w:type="dxa"/>
          </w:tcPr>
          <w:p w14:paraId="5FF01001" w14:textId="77777777" w:rsidR="003965F7" w:rsidRDefault="003965F7" w:rsidP="003965F7"/>
        </w:tc>
      </w:tr>
    </w:tbl>
    <w:p w14:paraId="5BE94EC2" w14:textId="77777777" w:rsidR="00287D3E" w:rsidRDefault="00287D3E" w:rsidP="00313B9A"/>
    <w:p w14:paraId="207F6190" w14:textId="77777777" w:rsidR="006761AD" w:rsidRPr="00865A44" w:rsidRDefault="006761AD" w:rsidP="006761AD">
      <w:pPr>
        <w:rPr>
          <w:rFonts w:ascii="Calibri" w:eastAsia="Calibri" w:hAnsi="Calibri" w:cs="Times New Roman"/>
        </w:rPr>
      </w:pPr>
    </w:p>
    <w:p w14:paraId="51CE992B" w14:textId="77777777" w:rsidR="006761AD" w:rsidRPr="00101233" w:rsidRDefault="006761AD" w:rsidP="006761AD">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gridCol w:w="2469"/>
        <w:gridCol w:w="2633"/>
      </w:tblGrid>
      <w:tr w:rsidR="00C766EE" w:rsidRPr="00865A44" w14:paraId="294ABC75" w14:textId="77777777" w:rsidTr="00C766EE">
        <w:trPr>
          <w:trHeight w:val="404"/>
        </w:trPr>
        <w:tc>
          <w:tcPr>
            <w:tcW w:w="4145" w:type="dxa"/>
          </w:tcPr>
          <w:p w14:paraId="7DD6E7E0" w14:textId="13FBE426" w:rsidR="00C766EE" w:rsidRPr="00865A44" w:rsidRDefault="00C766EE" w:rsidP="007C4434">
            <w:pPr>
              <w:jc w:val="center"/>
              <w:rPr>
                <w:sz w:val="24"/>
                <w:szCs w:val="24"/>
              </w:rPr>
            </w:pPr>
            <w:r>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Accepted Without Recommendations</w:t>
            </w:r>
          </w:p>
        </w:tc>
        <w:tc>
          <w:tcPr>
            <w:tcW w:w="4145" w:type="dxa"/>
          </w:tcPr>
          <w:p w14:paraId="388A73BD" w14:textId="4045AB6C" w:rsidR="00C766EE" w:rsidRPr="00865A44" w:rsidRDefault="00C766EE" w:rsidP="007C4434">
            <w:pPr>
              <w:jc w:val="center"/>
              <w:rPr>
                <w:sz w:val="24"/>
                <w:szCs w:val="24"/>
              </w:rPr>
            </w:pPr>
            <w:r w:rsidRPr="006855C6">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 xml:space="preserve"> </w:t>
            </w:r>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2469" w:type="dxa"/>
          </w:tcPr>
          <w:p w14:paraId="3286DAC6" w14:textId="4BCE21C7" w:rsidR="00C766EE" w:rsidRPr="00C766EE" w:rsidRDefault="00C766EE" w:rsidP="007C4434">
            <w:pPr>
              <w:jc w:val="center"/>
              <w:rPr>
                <w:rFonts w:ascii="Calibri" w:eastAsia="Calibri" w:hAnsi="Calibri" w:cs="Times New Roman"/>
                <w:sz w:val="24"/>
                <w:szCs w:val="24"/>
              </w:rPr>
            </w:pPr>
            <w:r>
              <w:rPr>
                <w:rFonts w:ascii="Calibri" w:eastAsia="Calibri" w:hAnsi="Calibri" w:cs="Times New Roman"/>
                <w:sz w:val="24"/>
                <w:szCs w:val="24"/>
                <w:u w:val="single"/>
              </w:rPr>
              <w:t>__</w:t>
            </w:r>
            <w:proofErr w:type="spellStart"/>
            <w:r w:rsidR="00107B30">
              <w:rPr>
                <w:rFonts w:ascii="Calibri" w:eastAsia="Calibri" w:hAnsi="Calibri" w:cs="Times New Roman"/>
                <w:sz w:val="24"/>
                <w:szCs w:val="24"/>
                <w:u w:val="single"/>
              </w:rPr>
              <w:t>x</w:t>
            </w:r>
            <w:r>
              <w:rPr>
                <w:rFonts w:ascii="Calibri" w:eastAsia="Calibri" w:hAnsi="Calibri" w:cs="Times New Roman"/>
                <w:sz w:val="24"/>
                <w:szCs w:val="24"/>
                <w:u w:val="single"/>
              </w:rPr>
              <w:t>_</w:t>
            </w:r>
            <w:r>
              <w:rPr>
                <w:rFonts w:ascii="Calibri" w:eastAsia="Calibri" w:hAnsi="Calibri" w:cs="Times New Roman"/>
                <w:sz w:val="24"/>
                <w:szCs w:val="24"/>
              </w:rPr>
              <w:t>Accepted</w:t>
            </w:r>
            <w:proofErr w:type="spellEnd"/>
            <w:r>
              <w:rPr>
                <w:rFonts w:ascii="Calibri" w:eastAsia="Calibri" w:hAnsi="Calibri" w:cs="Times New Roman"/>
                <w:sz w:val="24"/>
                <w:szCs w:val="24"/>
              </w:rPr>
              <w:t xml:space="preserve"> with Required Recommendations</w:t>
            </w:r>
          </w:p>
        </w:tc>
        <w:tc>
          <w:tcPr>
            <w:tcW w:w="2633" w:type="dxa"/>
          </w:tcPr>
          <w:p w14:paraId="7A83B1D9" w14:textId="77777777" w:rsidR="00C766EE" w:rsidRPr="00865A44" w:rsidRDefault="00C766EE" w:rsidP="007C4434">
            <w:pPr>
              <w:jc w:val="center"/>
              <w:rPr>
                <w:sz w:val="24"/>
                <w:szCs w:val="24"/>
              </w:rPr>
            </w:pPr>
            <w:r w:rsidRPr="006855C6">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Revisit and Revise</w:t>
            </w:r>
          </w:p>
        </w:tc>
      </w:tr>
    </w:tbl>
    <w:p w14:paraId="332C9A43" w14:textId="77777777" w:rsidR="006761AD" w:rsidRDefault="006761AD" w:rsidP="006761AD">
      <w:pPr>
        <w:jc w:val="center"/>
      </w:pPr>
    </w:p>
    <w:p w14:paraId="5126DA4D" w14:textId="77777777" w:rsidR="006761AD" w:rsidRDefault="006761AD" w:rsidP="006761AD"/>
    <w:p w14:paraId="5A918D45" w14:textId="77777777" w:rsidR="006761AD" w:rsidRPr="00101233" w:rsidRDefault="006761AD" w:rsidP="006761AD">
      <w:pPr>
        <w:rPr>
          <w:b/>
        </w:rPr>
      </w:pPr>
      <w:r w:rsidRPr="00101233">
        <w:rPr>
          <w:b/>
          <w:noProof/>
          <w:sz w:val="20"/>
          <w:szCs w:val="20"/>
        </w:rPr>
        <mc:AlternateContent>
          <mc:Choice Requires="wps">
            <w:drawing>
              <wp:anchor distT="45720" distB="45720" distL="114300" distR="114300" simplePos="0" relativeHeight="251659264" behindDoc="0" locked="0" layoutInCell="1" allowOverlap="1" wp14:anchorId="1A83F18D" wp14:editId="52D66572">
                <wp:simplePos x="0" y="0"/>
                <wp:positionH relativeFrom="column">
                  <wp:posOffset>0</wp:posOffset>
                </wp:positionH>
                <wp:positionV relativeFrom="paragraph">
                  <wp:posOffset>235585</wp:posOffset>
                </wp:positionV>
                <wp:extent cx="8496300" cy="2228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28850"/>
                        </a:xfrm>
                        <a:prstGeom prst="rect">
                          <a:avLst/>
                        </a:prstGeom>
                        <a:solidFill>
                          <a:srgbClr val="FFFFFF"/>
                        </a:solidFill>
                        <a:ln w="9525">
                          <a:solidFill>
                            <a:schemeClr val="tx1"/>
                          </a:solidFill>
                          <a:miter lim="800000"/>
                          <a:headEnd/>
                          <a:tailEnd/>
                        </a:ln>
                      </wps:spPr>
                      <wps:txbx>
                        <w:txbxContent>
                          <w:p w14:paraId="07B45323" w14:textId="53ABD385" w:rsidR="006761AD" w:rsidRDefault="00163C00" w:rsidP="006761AD">
                            <w:r>
                              <w:t xml:space="preserve">Overall, it’s a </w:t>
                            </w:r>
                            <w:proofErr w:type="gramStart"/>
                            <w:r>
                              <w:t>pretty thorough</w:t>
                            </w:r>
                            <w:proofErr w:type="gramEnd"/>
                            <w:r>
                              <w:t xml:space="preserve"> and well communicated review </w:t>
                            </w:r>
                            <w:r w:rsidR="00107B30">
                              <w:t xml:space="preserve">but CIP needs more detail and clarity.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3F18D" id="_x0000_t202" coordsize="21600,21600" o:spt="202" path="m,l,21600r21600,l21600,xe">
                <v:stroke joinstyle="miter"/>
                <v:path gradientshapeok="t" o:connecttype="rect"/>
              </v:shapetype>
              <v:shape id="Text Box 2" o:spid="_x0000_s1026" type="#_x0000_t202" style="position:absolute;margin-left:0;margin-top:18.55pt;width:669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" strokecolor="black [3213]">
                <v:textbox>
                  <w:txbxContent>
                    <w:p w14:paraId="07B45323" w14:textId="53ABD385" w:rsidR="006761AD" w:rsidRDefault="00163C00" w:rsidP="006761AD">
                      <w:r>
                        <w:t xml:space="preserve">Overall, it’s a </w:t>
                      </w:r>
                      <w:proofErr w:type="gramStart"/>
                      <w:r>
                        <w:t>pretty thorough</w:t>
                      </w:r>
                      <w:proofErr w:type="gramEnd"/>
                      <w:r>
                        <w:t xml:space="preserve"> and well communicated review </w:t>
                      </w:r>
                      <w:r w:rsidR="00107B30">
                        <w:t xml:space="preserve">but CIP needs more detail and clarity. </w:t>
                      </w:r>
                    </w:p>
                  </w:txbxContent>
                </v:textbox>
                <w10:wrap type="square"/>
              </v:shape>
            </w:pict>
          </mc:Fallback>
        </mc:AlternateContent>
      </w:r>
      <w:r w:rsidRPr="00101233">
        <w:rPr>
          <w:b/>
        </w:rPr>
        <w:t>General comments about the submission or rationale for the conclusion:</w:t>
      </w:r>
    </w:p>
    <w:p w14:paraId="1CE56CFB" w14:textId="77777777" w:rsidR="006761AD" w:rsidRDefault="006761AD" w:rsidP="006761AD">
      <w:pPr>
        <w:rPr>
          <w:sz w:val="20"/>
          <w:szCs w:val="20"/>
        </w:rPr>
      </w:pPr>
    </w:p>
    <w:p w14:paraId="289295A7" w14:textId="77777777" w:rsidR="006761AD" w:rsidRDefault="006761AD" w:rsidP="00313B9A"/>
    <w:sectPr w:rsidR="006761AD" w:rsidSect="00F32CB1">
      <w:headerReference w:type="default" r:id="rId7"/>
      <w:footerReference w:type="default" r:id="rId8"/>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3266E" w14:textId="77777777" w:rsidR="001A4FB8" w:rsidRDefault="001A4FB8" w:rsidP="00FA0207">
      <w:pPr>
        <w:spacing w:after="0" w:line="240" w:lineRule="auto"/>
      </w:pPr>
      <w:r>
        <w:separator/>
      </w:r>
    </w:p>
  </w:endnote>
  <w:endnote w:type="continuationSeparator" w:id="0">
    <w:p w14:paraId="4A064B61" w14:textId="77777777" w:rsidR="001A4FB8" w:rsidRDefault="001A4FB8" w:rsidP="00FA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BB7A" w14:textId="77777777" w:rsidR="003078A4" w:rsidRDefault="006855C6">
    <w:pPr>
      <w:pStyle w:val="Footer"/>
    </w:pPr>
    <w:r>
      <w:t>Revision 202</w:t>
    </w:r>
    <w:r w:rsidR="00807167">
      <w:t>1</w:t>
    </w:r>
    <w:r w:rsidR="003078A4">
      <w:t>.</w:t>
    </w:r>
    <w:r w:rsidR="006761AD">
      <w:t>0</w:t>
    </w:r>
    <w:r w:rsidR="00807167">
      <w:t>2</w:t>
    </w:r>
    <w:r w:rsidR="003078A4">
      <w:t>.</w:t>
    </w:r>
    <w:r w:rsidR="00807167">
      <w:t>03</w:t>
    </w:r>
    <w:r w:rsidR="0002605E">
      <w:tab/>
    </w:r>
    <w:r w:rsidR="0002605E">
      <w:tab/>
    </w:r>
    <w:r w:rsidR="0002605E">
      <w:tab/>
    </w:r>
    <w:r w:rsidR="0002605E">
      <w:tab/>
    </w:r>
    <w:r w:rsidR="0002605E">
      <w:tab/>
    </w:r>
    <w:r w:rsidR="0002605E">
      <w:tab/>
    </w:r>
    <w:r w:rsidR="0002605E">
      <w:tab/>
      <w:t xml:space="preserve">Page </w:t>
    </w:r>
    <w:r w:rsidR="0002605E">
      <w:fldChar w:fldCharType="begin"/>
    </w:r>
    <w:r w:rsidR="0002605E">
      <w:instrText xml:space="preserve"> PAGE   \* MERGEFORMAT </w:instrText>
    </w:r>
    <w:r w:rsidR="0002605E">
      <w:fldChar w:fldCharType="separate"/>
    </w:r>
    <w:r w:rsidR="00807167">
      <w:rPr>
        <w:noProof/>
      </w:rPr>
      <w:t>2</w:t>
    </w:r>
    <w:r w:rsidR="0002605E">
      <w:rPr>
        <w:noProof/>
      </w:rPr>
      <w:fldChar w:fldCharType="end"/>
    </w:r>
    <w:r w:rsidR="0002605E">
      <w:rPr>
        <w:noProof/>
      </w:rPr>
      <w:t xml:space="preserve"> of </w:t>
    </w:r>
    <w:r w:rsidR="0002605E">
      <w:rPr>
        <w:noProof/>
      </w:rPr>
      <w:fldChar w:fldCharType="begin"/>
    </w:r>
    <w:r w:rsidR="0002605E">
      <w:rPr>
        <w:noProof/>
      </w:rPr>
      <w:instrText xml:space="preserve"> NUMPAGES </w:instrText>
    </w:r>
    <w:r w:rsidR="0002605E">
      <w:rPr>
        <w:noProof/>
      </w:rPr>
      <w:fldChar w:fldCharType="separate"/>
    </w:r>
    <w:r w:rsidR="00807167">
      <w:rPr>
        <w:noProof/>
      </w:rPr>
      <w:t>2</w:t>
    </w:r>
    <w:r w:rsidR="000260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709C" w14:textId="77777777" w:rsidR="001A4FB8" w:rsidRDefault="001A4FB8" w:rsidP="00FA0207">
      <w:pPr>
        <w:spacing w:after="0" w:line="240" w:lineRule="auto"/>
      </w:pPr>
      <w:r>
        <w:separator/>
      </w:r>
    </w:p>
  </w:footnote>
  <w:footnote w:type="continuationSeparator" w:id="0">
    <w:p w14:paraId="0E90F39A" w14:textId="77777777" w:rsidR="001A4FB8" w:rsidRDefault="001A4FB8" w:rsidP="00FA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3F5A" w14:textId="77777777" w:rsidR="00FA0207" w:rsidRDefault="00FA0207" w:rsidP="00F22194">
    <w:pPr>
      <w:pStyle w:val="Header"/>
      <w:jc w:val="center"/>
      <w:rPr>
        <w:b/>
        <w:sz w:val="24"/>
        <w:szCs w:val="24"/>
      </w:rPr>
    </w:pPr>
    <w:r w:rsidRPr="00F22194">
      <w:rPr>
        <w:b/>
        <w:noProof/>
        <w:sz w:val="24"/>
        <w:szCs w:val="24"/>
      </w:rPr>
      <w:drawing>
        <wp:anchor distT="0" distB="0" distL="114300" distR="114300" simplePos="0" relativeHeight="251659264" behindDoc="0" locked="0" layoutInCell="1" allowOverlap="1" wp14:anchorId="7C4BC1B9" wp14:editId="0153D238">
          <wp:simplePos x="0" y="0"/>
          <wp:positionH relativeFrom="column">
            <wp:posOffset>-299720</wp:posOffset>
          </wp:positionH>
          <wp:positionV relativeFrom="paragraph">
            <wp:posOffset>-328295</wp:posOffset>
          </wp:positionV>
          <wp:extent cx="689610" cy="6223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10" cy="622300"/>
                  </a:xfrm>
                  <a:prstGeom prst="rect">
                    <a:avLst/>
                  </a:prstGeom>
                </pic:spPr>
              </pic:pic>
            </a:graphicData>
          </a:graphic>
          <wp14:sizeRelH relativeFrom="page">
            <wp14:pctWidth>0</wp14:pctWidth>
          </wp14:sizeRelH>
          <wp14:sizeRelV relativeFrom="page">
            <wp14:pctHeight>0</wp14:pctHeight>
          </wp14:sizeRelV>
        </wp:anchor>
      </w:drawing>
    </w:r>
    <w:r w:rsidRPr="00F22194">
      <w:rPr>
        <w:b/>
        <w:sz w:val="24"/>
        <w:szCs w:val="24"/>
      </w:rPr>
      <w:t>U</w:t>
    </w:r>
    <w:r w:rsidR="00757411">
      <w:rPr>
        <w:b/>
        <w:sz w:val="24"/>
        <w:szCs w:val="24"/>
      </w:rPr>
      <w:t>NIT</w:t>
    </w:r>
    <w:r w:rsidRPr="00F22194">
      <w:rPr>
        <w:b/>
        <w:sz w:val="24"/>
        <w:szCs w:val="24"/>
      </w:rPr>
      <w:t xml:space="preserve"> </w:t>
    </w:r>
    <w:r w:rsidR="00757411">
      <w:rPr>
        <w:b/>
        <w:sz w:val="24"/>
        <w:szCs w:val="24"/>
      </w:rPr>
      <w:t xml:space="preserve">REVIEW </w:t>
    </w:r>
    <w:r w:rsidRPr="00F22194">
      <w:rPr>
        <w:b/>
        <w:sz w:val="24"/>
        <w:szCs w:val="24"/>
      </w:rPr>
      <w:t>C</w:t>
    </w:r>
    <w:r w:rsidR="00757411">
      <w:rPr>
        <w:b/>
        <w:sz w:val="24"/>
        <w:szCs w:val="24"/>
      </w:rPr>
      <w:t>HECKLIST</w:t>
    </w:r>
  </w:p>
  <w:p w14:paraId="0F384647" w14:textId="77777777" w:rsidR="006761AD" w:rsidRDefault="006761AD" w:rsidP="00F22194">
    <w:pPr>
      <w:pStyle w:val="Header"/>
      <w:jc w:val="center"/>
      <w:rPr>
        <w:b/>
        <w:sz w:val="24"/>
        <w:szCs w:val="24"/>
      </w:rPr>
    </w:pPr>
  </w:p>
  <w:p w14:paraId="7CECB887" w14:textId="77777777" w:rsidR="006761AD" w:rsidRDefault="006761AD" w:rsidP="00F22194">
    <w:pPr>
      <w:pStyle w:val="Header"/>
      <w:jc w:val="center"/>
      <w:rPr>
        <w:b/>
        <w:sz w:val="24"/>
        <w:szCs w:val="24"/>
      </w:rPr>
    </w:pPr>
  </w:p>
  <w:p w14:paraId="20700FBA" w14:textId="77777777" w:rsidR="006761AD" w:rsidRDefault="006761AD" w:rsidP="006761AD">
    <w:pPr>
      <w:rPr>
        <w:b/>
      </w:rPr>
    </w:pPr>
    <w:r>
      <w:rPr>
        <w:b/>
      </w:rPr>
      <w:t>Unit</w:t>
    </w:r>
    <w:r w:rsidRPr="00A030C9">
      <w:rPr>
        <w:b/>
      </w:rPr>
      <w:t xml:space="preserve"> name</w:t>
    </w:r>
    <w:r>
      <w:rPr>
        <w:b/>
      </w:rPr>
      <w:t xml:space="preserve">: </w:t>
    </w:r>
    <w:r w:rsidRPr="00F32CB1">
      <w:rPr>
        <w:b/>
      </w:rPr>
      <w:t xml:space="preserve">_____________________________________________ </w:t>
    </w:r>
    <w:r>
      <w:rPr>
        <w:b/>
      </w:rPr>
      <w:tab/>
    </w:r>
    <w:r>
      <w:rPr>
        <w:b/>
      </w:rPr>
      <w:tab/>
    </w:r>
    <w:r w:rsidRPr="00647B52">
      <w:t xml:space="preserve"> </w:t>
    </w:r>
    <w:r>
      <w:rPr>
        <w:b/>
      </w:rPr>
      <w:t>Reviewer: _________________________________</w:t>
    </w:r>
    <w:r w:rsidRPr="00F32CB1">
      <w:rPr>
        <w:b/>
        <w:u w:val="single"/>
      </w:rPr>
      <w:tab/>
    </w:r>
    <w:r w:rsidRPr="00F32CB1">
      <w:rPr>
        <w:b/>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11CF2"/>
    <w:multiLevelType w:val="hybridMultilevel"/>
    <w:tmpl w:val="717052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7B2FF3"/>
    <w:multiLevelType w:val="hybridMultilevel"/>
    <w:tmpl w:val="E334F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F1094"/>
    <w:multiLevelType w:val="hybridMultilevel"/>
    <w:tmpl w:val="11E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436EF"/>
    <w:multiLevelType w:val="hybridMultilevel"/>
    <w:tmpl w:val="6296A8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6480642">
    <w:abstractNumId w:val="2"/>
  </w:num>
  <w:num w:numId="2" w16cid:durableId="767165951">
    <w:abstractNumId w:val="1"/>
  </w:num>
  <w:num w:numId="3" w16cid:durableId="634260652">
    <w:abstractNumId w:val="3"/>
  </w:num>
  <w:num w:numId="4" w16cid:durableId="124263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16"/>
    <w:rsid w:val="0002605E"/>
    <w:rsid w:val="00087C33"/>
    <w:rsid w:val="000C642A"/>
    <w:rsid w:val="000F34DF"/>
    <w:rsid w:val="00107B30"/>
    <w:rsid w:val="00116950"/>
    <w:rsid w:val="00163C00"/>
    <w:rsid w:val="001A4FB8"/>
    <w:rsid w:val="001E2406"/>
    <w:rsid w:val="001F2CFF"/>
    <w:rsid w:val="00261EDF"/>
    <w:rsid w:val="00287D3E"/>
    <w:rsid w:val="002C37C9"/>
    <w:rsid w:val="003078A4"/>
    <w:rsid w:val="00313B9A"/>
    <w:rsid w:val="003965F7"/>
    <w:rsid w:val="00416749"/>
    <w:rsid w:val="005C3C1B"/>
    <w:rsid w:val="005E3D1F"/>
    <w:rsid w:val="005F2368"/>
    <w:rsid w:val="00604216"/>
    <w:rsid w:val="006148C6"/>
    <w:rsid w:val="00624FAE"/>
    <w:rsid w:val="00647B52"/>
    <w:rsid w:val="006761AD"/>
    <w:rsid w:val="006819E6"/>
    <w:rsid w:val="006855C6"/>
    <w:rsid w:val="006D169C"/>
    <w:rsid w:val="0075232C"/>
    <w:rsid w:val="00757411"/>
    <w:rsid w:val="00763184"/>
    <w:rsid w:val="00764B05"/>
    <w:rsid w:val="007F64F0"/>
    <w:rsid w:val="00807167"/>
    <w:rsid w:val="008B41CB"/>
    <w:rsid w:val="00900EF9"/>
    <w:rsid w:val="00982F32"/>
    <w:rsid w:val="009A51CC"/>
    <w:rsid w:val="009D2932"/>
    <w:rsid w:val="00A030C9"/>
    <w:rsid w:val="00A40501"/>
    <w:rsid w:val="00A526A4"/>
    <w:rsid w:val="00A638DE"/>
    <w:rsid w:val="00A97888"/>
    <w:rsid w:val="00AD42E8"/>
    <w:rsid w:val="00AF0C97"/>
    <w:rsid w:val="00B84376"/>
    <w:rsid w:val="00C13D56"/>
    <w:rsid w:val="00C63F21"/>
    <w:rsid w:val="00C766EE"/>
    <w:rsid w:val="00CA3289"/>
    <w:rsid w:val="00CD1781"/>
    <w:rsid w:val="00CD6DB0"/>
    <w:rsid w:val="00D47C6C"/>
    <w:rsid w:val="00DB0D1F"/>
    <w:rsid w:val="00DB4774"/>
    <w:rsid w:val="00DD1E00"/>
    <w:rsid w:val="00E22EAE"/>
    <w:rsid w:val="00E24D4D"/>
    <w:rsid w:val="00E514A1"/>
    <w:rsid w:val="00E96EC7"/>
    <w:rsid w:val="00F12C87"/>
    <w:rsid w:val="00F22194"/>
    <w:rsid w:val="00F24C67"/>
    <w:rsid w:val="00F32CB1"/>
    <w:rsid w:val="00F615FE"/>
    <w:rsid w:val="00FA0207"/>
    <w:rsid w:val="00FA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42FF"/>
  <w15:docId w15:val="{E7D826DB-D98E-44D8-93FC-9C1B5C45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FE"/>
    <w:pPr>
      <w:keepNext/>
      <w:keepLines/>
      <w:spacing w:before="200" w:after="0"/>
      <w:outlineLvl w:val="1"/>
    </w:pPr>
    <w:rPr>
      <w:rFonts w:ascii="Arial" w:eastAsiaTheme="majorEastAsia" w:hAnsi="Arial"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5FE"/>
    <w:rPr>
      <w:rFonts w:ascii="Arial" w:eastAsiaTheme="majorEastAsia" w:hAnsi="Arial" w:cstheme="majorBidi"/>
      <w:b/>
      <w:bCs/>
      <w:color w:val="4F81BD" w:themeColor="accent1"/>
      <w:sz w:val="28"/>
      <w:szCs w:val="26"/>
    </w:rPr>
  </w:style>
  <w:style w:type="table" w:styleId="TableGrid">
    <w:name w:val="Table Grid"/>
    <w:basedOn w:val="TableNormal"/>
    <w:uiPriority w:val="59"/>
    <w:rsid w:val="0060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216"/>
    <w:pPr>
      <w:ind w:left="720"/>
      <w:contextualSpacing/>
    </w:pPr>
  </w:style>
  <w:style w:type="paragraph" w:styleId="Header">
    <w:name w:val="header"/>
    <w:basedOn w:val="Normal"/>
    <w:link w:val="HeaderChar"/>
    <w:uiPriority w:val="99"/>
    <w:unhideWhenUsed/>
    <w:rsid w:val="00FA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07"/>
  </w:style>
  <w:style w:type="paragraph" w:styleId="Footer">
    <w:name w:val="footer"/>
    <w:basedOn w:val="Normal"/>
    <w:link w:val="FooterChar"/>
    <w:uiPriority w:val="99"/>
    <w:unhideWhenUsed/>
    <w:rsid w:val="00FA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07"/>
  </w:style>
  <w:style w:type="table" w:customStyle="1" w:styleId="TableGrid1">
    <w:name w:val="Table Grid1"/>
    <w:basedOn w:val="TableNormal"/>
    <w:next w:val="TableGrid"/>
    <w:uiPriority w:val="59"/>
    <w:rsid w:val="0028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Service Unit Submission Review PRSC Checklist</vt:lpstr>
    </vt:vector>
  </TitlesOfParts>
  <Company>CCCCD</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Unit Submission Review PRSC Checklist</dc:title>
  <dc:creator>Institutional Effectiveness</dc:creator>
  <cp:lastModifiedBy>Pisani, Whitney</cp:lastModifiedBy>
  <cp:revision>2</cp:revision>
  <cp:lastPrinted>2016-01-08T15:56:00Z</cp:lastPrinted>
  <dcterms:created xsi:type="dcterms:W3CDTF">2025-04-09T18:59:00Z</dcterms:created>
  <dcterms:modified xsi:type="dcterms:W3CDTF">2025-04-09T18:59:00Z</dcterms:modified>
</cp:coreProperties>
</file>