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00"/>
        <w:gridCol w:w="1591"/>
        <w:gridCol w:w="4434"/>
      </w:tblGrid>
      <w:tr w:rsidR="00AC5518" w14:paraId="33234EA8" w14:textId="77777777" w:rsidTr="009E48DC">
        <w:trPr>
          <w:tblHeader/>
        </w:trPr>
        <w:tc>
          <w:tcPr>
            <w:tcW w:w="3235" w:type="dxa"/>
            <w:shd w:val="clear" w:color="auto" w:fill="C4BC96" w:themeFill="background2" w:themeFillShade="BF"/>
          </w:tcPr>
          <w:p w14:paraId="1AAE6CBD" w14:textId="77777777" w:rsidR="008B6986" w:rsidRPr="002148CA" w:rsidRDefault="008B6986" w:rsidP="002148CA">
            <w:pPr>
              <w:rPr>
                <w:b/>
              </w:rPr>
            </w:pPr>
          </w:p>
        </w:tc>
        <w:tc>
          <w:tcPr>
            <w:tcW w:w="1710" w:type="dxa"/>
            <w:vAlign w:val="center"/>
          </w:tcPr>
          <w:p w14:paraId="308E4D27"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5E329760" w14:textId="77777777" w:rsidR="008B6986" w:rsidRPr="00785CEB" w:rsidRDefault="008B6986" w:rsidP="008B6986">
            <w:pPr>
              <w:jc w:val="center"/>
            </w:pPr>
            <w:r>
              <w:rPr>
                <w:rFonts w:eastAsia="Times New Roman" w:cs="Times New Roman"/>
                <w:b/>
              </w:rPr>
              <w:t>Evidence</w:t>
            </w:r>
          </w:p>
        </w:tc>
        <w:tc>
          <w:tcPr>
            <w:tcW w:w="1800" w:type="dxa"/>
            <w:vAlign w:val="center"/>
          </w:tcPr>
          <w:p w14:paraId="55E61F48"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91" w:type="dxa"/>
            <w:vAlign w:val="center"/>
          </w:tcPr>
          <w:p w14:paraId="784AEC16"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6D500D83"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C9789C" w14:paraId="16F5941B" w14:textId="77777777" w:rsidTr="009E48DC">
        <w:tc>
          <w:tcPr>
            <w:tcW w:w="3235" w:type="dxa"/>
          </w:tcPr>
          <w:p w14:paraId="6C8D4471" w14:textId="77777777" w:rsidR="00C9789C" w:rsidRPr="00EB2442" w:rsidRDefault="00C9789C" w:rsidP="00C9789C">
            <w:pPr>
              <w:rPr>
                <w:sz w:val="20"/>
                <w:szCs w:val="20"/>
              </w:rPr>
            </w:pPr>
            <w:r w:rsidRPr="00EB2442">
              <w:rPr>
                <w:sz w:val="20"/>
                <w:szCs w:val="20"/>
              </w:rPr>
              <w:t>1. What does the workforce program do?</w:t>
            </w:r>
          </w:p>
        </w:tc>
        <w:tc>
          <w:tcPr>
            <w:tcW w:w="1710" w:type="dxa"/>
          </w:tcPr>
          <w:p w14:paraId="028792D9" w14:textId="44D8EA53" w:rsidR="00C9789C" w:rsidRDefault="00EF6888" w:rsidP="00C9789C">
            <w:r>
              <w:t>10</w:t>
            </w:r>
          </w:p>
        </w:tc>
        <w:tc>
          <w:tcPr>
            <w:tcW w:w="1620" w:type="dxa"/>
            <w:shd w:val="clear" w:color="auto" w:fill="C4BC96" w:themeFill="background2" w:themeFillShade="BF"/>
          </w:tcPr>
          <w:p w14:paraId="2619429C" w14:textId="77777777" w:rsidR="00C9789C" w:rsidRPr="008A3AFC" w:rsidRDefault="00C9789C" w:rsidP="00C9789C">
            <w:pPr>
              <w:jc w:val="center"/>
              <w:rPr>
                <w:color w:val="C4BC96" w:themeColor="background2" w:themeShade="BF"/>
              </w:rPr>
            </w:pPr>
          </w:p>
        </w:tc>
        <w:tc>
          <w:tcPr>
            <w:tcW w:w="1800" w:type="dxa"/>
            <w:shd w:val="clear" w:color="auto" w:fill="C4BC96" w:themeFill="background2" w:themeFillShade="BF"/>
          </w:tcPr>
          <w:p w14:paraId="321D21DB" w14:textId="77777777" w:rsidR="00C9789C" w:rsidRPr="008A3AFC" w:rsidRDefault="00C9789C" w:rsidP="00C9789C">
            <w:pPr>
              <w:jc w:val="center"/>
              <w:rPr>
                <w:color w:val="C4BC96" w:themeColor="background2" w:themeShade="BF"/>
              </w:rPr>
            </w:pPr>
          </w:p>
        </w:tc>
        <w:tc>
          <w:tcPr>
            <w:tcW w:w="1591" w:type="dxa"/>
          </w:tcPr>
          <w:p w14:paraId="22A8AE78" w14:textId="15C0B774" w:rsidR="00C9789C" w:rsidRDefault="00EF6888" w:rsidP="00C9789C">
            <w:r>
              <w:t>10</w:t>
            </w:r>
          </w:p>
        </w:tc>
        <w:tc>
          <w:tcPr>
            <w:tcW w:w="4434" w:type="dxa"/>
          </w:tcPr>
          <w:p w14:paraId="3C39F840" w14:textId="43034670" w:rsidR="00C9789C" w:rsidRDefault="00C9789C" w:rsidP="00C9789C">
            <w:r>
              <w:t xml:space="preserve">The program’s mission is clearly stated with both tracks identified. </w:t>
            </w:r>
          </w:p>
        </w:tc>
      </w:tr>
      <w:tr w:rsidR="005357E9" w14:paraId="55E2D0FD" w14:textId="77777777" w:rsidTr="009E48DC">
        <w:tc>
          <w:tcPr>
            <w:tcW w:w="3235" w:type="dxa"/>
          </w:tcPr>
          <w:p w14:paraId="663F9604" w14:textId="77777777" w:rsidR="005357E9" w:rsidRPr="00EB2442" w:rsidRDefault="005357E9" w:rsidP="005357E9">
            <w:pPr>
              <w:rPr>
                <w:sz w:val="20"/>
                <w:szCs w:val="20"/>
              </w:rPr>
            </w:pPr>
            <w:r w:rsidRPr="00EB2442">
              <w:rPr>
                <w:sz w:val="20"/>
                <w:szCs w:val="20"/>
              </w:rPr>
              <w:t>2. Program relationship to the college mission and strategic plan.</w:t>
            </w:r>
          </w:p>
        </w:tc>
        <w:tc>
          <w:tcPr>
            <w:tcW w:w="1710" w:type="dxa"/>
          </w:tcPr>
          <w:p w14:paraId="306AF8DC" w14:textId="51418792" w:rsidR="005357E9" w:rsidRDefault="00EF6888" w:rsidP="005357E9">
            <w:r>
              <w:t>4</w:t>
            </w:r>
          </w:p>
        </w:tc>
        <w:tc>
          <w:tcPr>
            <w:tcW w:w="1620" w:type="dxa"/>
          </w:tcPr>
          <w:p w14:paraId="12D9EEDC" w14:textId="0321AA73" w:rsidR="005357E9" w:rsidRDefault="00EF6888" w:rsidP="005357E9">
            <w:r>
              <w:t>3</w:t>
            </w:r>
          </w:p>
        </w:tc>
        <w:tc>
          <w:tcPr>
            <w:tcW w:w="1800" w:type="dxa"/>
          </w:tcPr>
          <w:p w14:paraId="4DAD26B8" w14:textId="0E2707DB" w:rsidR="005357E9" w:rsidRDefault="00EF6888" w:rsidP="005357E9">
            <w:r>
              <w:t>3</w:t>
            </w:r>
          </w:p>
        </w:tc>
        <w:tc>
          <w:tcPr>
            <w:tcW w:w="1591" w:type="dxa"/>
          </w:tcPr>
          <w:p w14:paraId="06B32E8C" w14:textId="7060147F" w:rsidR="005357E9" w:rsidRDefault="00EF6888" w:rsidP="005357E9">
            <w:r>
              <w:t>10</w:t>
            </w:r>
          </w:p>
        </w:tc>
        <w:tc>
          <w:tcPr>
            <w:tcW w:w="4434" w:type="dxa"/>
          </w:tcPr>
          <w:p w14:paraId="230D7233" w14:textId="1472A892" w:rsidR="005357E9" w:rsidRDefault="005357E9" w:rsidP="005357E9">
            <w:r>
              <w:t xml:space="preserve">Program supports the </w:t>
            </w:r>
            <w:proofErr w:type="spellStart"/>
            <w:r>
              <w:t>Colleges’s</w:t>
            </w:r>
            <w:proofErr w:type="spellEnd"/>
            <w:r>
              <w:t xml:space="preserve"> strategic plan. Impressive 100% pass rate on the Sonographic Principles and Instrumentation Physics registry board exam. The registry board exam universally has a pass rate of only 68%. Not only do the program’s students hold a 100% pass rate on the registry board exam, but the average score of all cohorts received is 654, which computes to 94%.</w:t>
            </w:r>
          </w:p>
        </w:tc>
      </w:tr>
      <w:tr w:rsidR="005357E9" w14:paraId="33C861FA" w14:textId="77777777" w:rsidTr="009E48DC">
        <w:tc>
          <w:tcPr>
            <w:tcW w:w="3235" w:type="dxa"/>
          </w:tcPr>
          <w:p w14:paraId="7978582B" w14:textId="77777777" w:rsidR="005357E9" w:rsidRPr="00EB2442" w:rsidRDefault="005357E9" w:rsidP="005357E9">
            <w:pPr>
              <w:rPr>
                <w:sz w:val="20"/>
                <w:szCs w:val="20"/>
              </w:rPr>
            </w:pPr>
            <w:r w:rsidRPr="00EB2442">
              <w:rPr>
                <w:sz w:val="20"/>
                <w:szCs w:val="20"/>
              </w:rPr>
              <w:t>3. Program relationship to student demand.</w:t>
            </w:r>
          </w:p>
        </w:tc>
        <w:tc>
          <w:tcPr>
            <w:tcW w:w="1710" w:type="dxa"/>
          </w:tcPr>
          <w:p w14:paraId="18DB56CB" w14:textId="4BD3065B" w:rsidR="005357E9" w:rsidRDefault="00EF6888" w:rsidP="005357E9">
            <w:r>
              <w:t>4</w:t>
            </w:r>
          </w:p>
        </w:tc>
        <w:tc>
          <w:tcPr>
            <w:tcW w:w="1620" w:type="dxa"/>
          </w:tcPr>
          <w:p w14:paraId="319D7640" w14:textId="2E34C3AC" w:rsidR="005357E9" w:rsidRDefault="00EF6888" w:rsidP="005357E9">
            <w:r>
              <w:t>3</w:t>
            </w:r>
          </w:p>
        </w:tc>
        <w:tc>
          <w:tcPr>
            <w:tcW w:w="1800" w:type="dxa"/>
          </w:tcPr>
          <w:p w14:paraId="00CE3A30" w14:textId="6834EBA3" w:rsidR="005357E9" w:rsidRDefault="00EF6888" w:rsidP="005357E9">
            <w:r>
              <w:t>3</w:t>
            </w:r>
          </w:p>
        </w:tc>
        <w:tc>
          <w:tcPr>
            <w:tcW w:w="1591" w:type="dxa"/>
          </w:tcPr>
          <w:p w14:paraId="029AFB1D" w14:textId="01DA92E3" w:rsidR="005357E9" w:rsidRDefault="00EF6888" w:rsidP="005357E9">
            <w:r>
              <w:t>10</w:t>
            </w:r>
          </w:p>
        </w:tc>
        <w:tc>
          <w:tcPr>
            <w:tcW w:w="4434" w:type="dxa"/>
          </w:tcPr>
          <w:p w14:paraId="32F31EEB" w14:textId="77777777" w:rsidR="00AF4E6B" w:rsidRDefault="00B43BC1" w:rsidP="00B43BC1">
            <w:r>
              <w:t xml:space="preserve">During this program review cycle, </w:t>
            </w:r>
            <w:r w:rsidR="00AF4E6B">
              <w:t xml:space="preserve">891 enrolled in DMSO 1210 (the prerequisite course) and </w:t>
            </w:r>
            <w:r>
              <w:t xml:space="preserve">52 students </w:t>
            </w:r>
            <w:r w:rsidR="00AF4E6B">
              <w:t xml:space="preserve">got into the program and </w:t>
            </w:r>
            <w:r>
              <w:t xml:space="preserve">graduated. This number is low due to accreditation standards restricting the size of DMA cohorts. </w:t>
            </w:r>
          </w:p>
          <w:p w14:paraId="0586C65F" w14:textId="77777777" w:rsidR="00AF4E6B" w:rsidRDefault="00AF4E6B" w:rsidP="00B43BC1"/>
          <w:p w14:paraId="7BEEDD3F" w14:textId="632229FA" w:rsidR="00AF4E6B" w:rsidRDefault="00AF4E6B" w:rsidP="00B43BC1">
            <w:r>
              <w:t xml:space="preserve">Question: Are there students with same scores and qualifications that </w:t>
            </w:r>
            <w:r w:rsidR="00522547">
              <w:t>don’t</w:t>
            </w:r>
            <w:r>
              <w:t xml:space="preserve"> get in</w:t>
            </w:r>
            <w:r w:rsidR="00522547">
              <w:t>to</w:t>
            </w:r>
            <w:r>
              <w:t xml:space="preserve"> the program because of limited space? </w:t>
            </w:r>
          </w:p>
          <w:p w14:paraId="711A6DC6" w14:textId="77777777" w:rsidR="00AF4E6B" w:rsidRDefault="00AF4E6B" w:rsidP="00B43BC1"/>
          <w:p w14:paraId="0EA03971" w14:textId="5CC0EDE0" w:rsidR="00B43BC1" w:rsidRDefault="00B43BC1" w:rsidP="00881823">
            <w:r>
              <w:t>Racial and ethnic diversity are appropriately represented within the program compared to the college’s data</w:t>
            </w:r>
            <w:r w:rsidR="00881823">
              <w:t>.</w:t>
            </w:r>
          </w:p>
        </w:tc>
      </w:tr>
      <w:tr w:rsidR="009E48DC" w14:paraId="1A6427BC" w14:textId="77777777" w:rsidTr="009E48DC">
        <w:tc>
          <w:tcPr>
            <w:tcW w:w="3235" w:type="dxa"/>
          </w:tcPr>
          <w:p w14:paraId="29638EAC" w14:textId="77777777" w:rsidR="009E48DC" w:rsidRPr="00EB2442" w:rsidRDefault="009E48DC" w:rsidP="009E48DC">
            <w:pPr>
              <w:rPr>
                <w:sz w:val="20"/>
                <w:szCs w:val="20"/>
              </w:rPr>
            </w:pPr>
            <w:r w:rsidRPr="00EB2442">
              <w:rPr>
                <w:sz w:val="20"/>
                <w:szCs w:val="20"/>
              </w:rPr>
              <w:t>4. Program relationship to market demand.</w:t>
            </w:r>
          </w:p>
        </w:tc>
        <w:tc>
          <w:tcPr>
            <w:tcW w:w="1710" w:type="dxa"/>
          </w:tcPr>
          <w:p w14:paraId="6B652C51" w14:textId="2B246771" w:rsidR="009E48DC" w:rsidRDefault="00EF6888" w:rsidP="009E48DC">
            <w:r>
              <w:t>4</w:t>
            </w:r>
          </w:p>
        </w:tc>
        <w:tc>
          <w:tcPr>
            <w:tcW w:w="1620" w:type="dxa"/>
          </w:tcPr>
          <w:p w14:paraId="23622117" w14:textId="77175D1A" w:rsidR="009E48DC" w:rsidRDefault="00EF6888" w:rsidP="009E48DC">
            <w:r>
              <w:t>3</w:t>
            </w:r>
          </w:p>
        </w:tc>
        <w:tc>
          <w:tcPr>
            <w:tcW w:w="1800" w:type="dxa"/>
          </w:tcPr>
          <w:p w14:paraId="069C429B" w14:textId="17C356FC" w:rsidR="009E48DC" w:rsidRDefault="00EF6888" w:rsidP="009E48DC">
            <w:r>
              <w:t>3</w:t>
            </w:r>
          </w:p>
        </w:tc>
        <w:tc>
          <w:tcPr>
            <w:tcW w:w="1591" w:type="dxa"/>
          </w:tcPr>
          <w:p w14:paraId="33B3E038" w14:textId="2A6E0B22" w:rsidR="009E48DC" w:rsidRDefault="00EF6888" w:rsidP="009E48DC">
            <w:r>
              <w:t>10</w:t>
            </w:r>
          </w:p>
        </w:tc>
        <w:tc>
          <w:tcPr>
            <w:tcW w:w="4434" w:type="dxa"/>
          </w:tcPr>
          <w:p w14:paraId="16AD88C2" w14:textId="796228A1" w:rsidR="009E48DC" w:rsidRDefault="00EF6888" w:rsidP="009E48DC">
            <w:r>
              <w:t xml:space="preserve">The is high demand for registered diagnostic sonographers in DFW. Over 90% of graduates </w:t>
            </w:r>
            <w:r>
              <w:lastRenderedPageBreak/>
              <w:t xml:space="preserve">were employed within six months post-graduation. </w:t>
            </w:r>
          </w:p>
        </w:tc>
      </w:tr>
      <w:tr w:rsidR="00881823" w14:paraId="26440DAD" w14:textId="77777777" w:rsidTr="009E48DC">
        <w:tc>
          <w:tcPr>
            <w:tcW w:w="3235" w:type="dxa"/>
          </w:tcPr>
          <w:p w14:paraId="0F55260D" w14:textId="77777777" w:rsidR="00881823" w:rsidRPr="00EB2442" w:rsidRDefault="00881823" w:rsidP="00881823">
            <w:pPr>
              <w:rPr>
                <w:sz w:val="20"/>
                <w:szCs w:val="20"/>
              </w:rPr>
            </w:pPr>
            <w:r w:rsidRPr="00EB2442">
              <w:rPr>
                <w:sz w:val="20"/>
                <w:szCs w:val="20"/>
              </w:rPr>
              <w:lastRenderedPageBreak/>
              <w:t>5.  How effective is the program’s curriculum?</w:t>
            </w:r>
          </w:p>
        </w:tc>
        <w:tc>
          <w:tcPr>
            <w:tcW w:w="1710" w:type="dxa"/>
          </w:tcPr>
          <w:p w14:paraId="50A17087" w14:textId="5C0564C1" w:rsidR="00881823" w:rsidRDefault="00EF6888" w:rsidP="00881823">
            <w:r>
              <w:t>4</w:t>
            </w:r>
          </w:p>
        </w:tc>
        <w:tc>
          <w:tcPr>
            <w:tcW w:w="1620" w:type="dxa"/>
          </w:tcPr>
          <w:p w14:paraId="5C66C089" w14:textId="042CD17F" w:rsidR="00881823" w:rsidRDefault="00EF6888" w:rsidP="00881823">
            <w:r>
              <w:t>3</w:t>
            </w:r>
          </w:p>
        </w:tc>
        <w:tc>
          <w:tcPr>
            <w:tcW w:w="1800" w:type="dxa"/>
          </w:tcPr>
          <w:p w14:paraId="6CF52B46" w14:textId="78CD767D" w:rsidR="00881823" w:rsidRDefault="00EF6888" w:rsidP="00881823">
            <w:r>
              <w:t>3</w:t>
            </w:r>
          </w:p>
        </w:tc>
        <w:tc>
          <w:tcPr>
            <w:tcW w:w="1591" w:type="dxa"/>
          </w:tcPr>
          <w:p w14:paraId="1489FEAA" w14:textId="64749819" w:rsidR="00881823" w:rsidRDefault="00EF6888" w:rsidP="00881823">
            <w:r>
              <w:t>10</w:t>
            </w:r>
          </w:p>
        </w:tc>
        <w:tc>
          <w:tcPr>
            <w:tcW w:w="4434" w:type="dxa"/>
          </w:tcPr>
          <w:p w14:paraId="0CFB7855" w14:textId="02F806F7" w:rsidR="00881823" w:rsidRDefault="00881823" w:rsidP="00881823">
            <w:r>
              <w:t xml:space="preserve">The DMS program’s performance in offering and maintaining a highly effective curriculum is impressive. This is best demonstrated by comparing the DMS program with other comparable programs in the area. The DMS program is at or superior on most measures including students’ success, retention, and satisfaction.  </w:t>
            </w:r>
          </w:p>
        </w:tc>
      </w:tr>
      <w:tr w:rsidR="00881823" w14:paraId="0DF1E76A" w14:textId="77777777" w:rsidTr="009E48DC">
        <w:tc>
          <w:tcPr>
            <w:tcW w:w="3235" w:type="dxa"/>
          </w:tcPr>
          <w:p w14:paraId="1BCD738D" w14:textId="77777777" w:rsidR="00881823" w:rsidRPr="00EB2442" w:rsidRDefault="00881823" w:rsidP="00881823">
            <w:pPr>
              <w:rPr>
                <w:sz w:val="20"/>
                <w:szCs w:val="20"/>
              </w:rPr>
            </w:pPr>
            <w:r w:rsidRPr="00EB2442">
              <w:rPr>
                <w:sz w:val="20"/>
                <w:szCs w:val="20"/>
              </w:rPr>
              <w:t>6.  How well does program communicate?</w:t>
            </w:r>
          </w:p>
        </w:tc>
        <w:tc>
          <w:tcPr>
            <w:tcW w:w="1710" w:type="dxa"/>
            <w:shd w:val="clear" w:color="auto" w:fill="auto"/>
          </w:tcPr>
          <w:p w14:paraId="33D6A990" w14:textId="44C6C5AC" w:rsidR="00881823" w:rsidRDefault="00EF6888" w:rsidP="00881823">
            <w:r>
              <w:t>4</w:t>
            </w:r>
          </w:p>
        </w:tc>
        <w:tc>
          <w:tcPr>
            <w:tcW w:w="1620" w:type="dxa"/>
            <w:shd w:val="clear" w:color="auto" w:fill="auto"/>
          </w:tcPr>
          <w:p w14:paraId="4D33BBC6" w14:textId="6C27088F" w:rsidR="00881823" w:rsidRDefault="00EF6888" w:rsidP="00881823">
            <w:r>
              <w:t>3</w:t>
            </w:r>
          </w:p>
        </w:tc>
        <w:tc>
          <w:tcPr>
            <w:tcW w:w="1800" w:type="dxa"/>
            <w:shd w:val="clear" w:color="auto" w:fill="auto"/>
          </w:tcPr>
          <w:p w14:paraId="54B77930" w14:textId="42CFB1DF" w:rsidR="00881823" w:rsidRDefault="00EF6888" w:rsidP="00881823">
            <w:r>
              <w:t>3</w:t>
            </w:r>
          </w:p>
        </w:tc>
        <w:tc>
          <w:tcPr>
            <w:tcW w:w="1591" w:type="dxa"/>
            <w:shd w:val="clear" w:color="auto" w:fill="auto"/>
          </w:tcPr>
          <w:p w14:paraId="1DB1139C" w14:textId="71F2EA9D" w:rsidR="00881823" w:rsidRDefault="00EF6888" w:rsidP="00881823">
            <w:r>
              <w:t>10</w:t>
            </w:r>
          </w:p>
        </w:tc>
        <w:tc>
          <w:tcPr>
            <w:tcW w:w="4434" w:type="dxa"/>
            <w:shd w:val="clear" w:color="auto" w:fill="auto"/>
          </w:tcPr>
          <w:p w14:paraId="2162A9E2" w14:textId="77777777" w:rsidR="00881823" w:rsidRDefault="00881823" w:rsidP="00881823">
            <w:r>
              <w:t xml:space="preserve">The DMS program has implemented and maintained a highly effective communication. They offer an improved website through which they provide information for the various aspects of the program for potential applicants as well as important information for existing students. </w:t>
            </w:r>
          </w:p>
          <w:p w14:paraId="2D4A141A" w14:textId="611C1153" w:rsidR="00881823" w:rsidRDefault="00881823" w:rsidP="00881823">
            <w:r>
              <w:t>It is also encouraging that the program director continuously monitors the suggestions and implements changes to the DMS website to enhance the quality of the user experience.</w:t>
            </w:r>
          </w:p>
        </w:tc>
      </w:tr>
      <w:tr w:rsidR="00881823" w14:paraId="7086B1FF" w14:textId="77777777" w:rsidTr="009E48DC">
        <w:tc>
          <w:tcPr>
            <w:tcW w:w="3235" w:type="dxa"/>
          </w:tcPr>
          <w:p w14:paraId="1447894E" w14:textId="77777777" w:rsidR="00881823" w:rsidRPr="00EB2442" w:rsidRDefault="00881823" w:rsidP="00881823">
            <w:pPr>
              <w:rPr>
                <w:sz w:val="20"/>
                <w:szCs w:val="20"/>
              </w:rPr>
            </w:pPr>
            <w:r w:rsidRPr="00EB2442">
              <w:rPr>
                <w:sz w:val="20"/>
                <w:szCs w:val="20"/>
              </w:rPr>
              <w:t>7. How well are partnership resources built &amp; leveraged?</w:t>
            </w:r>
          </w:p>
        </w:tc>
        <w:tc>
          <w:tcPr>
            <w:tcW w:w="1710" w:type="dxa"/>
          </w:tcPr>
          <w:p w14:paraId="176B26DE" w14:textId="43462FEE" w:rsidR="00881823" w:rsidRDefault="00EF6888" w:rsidP="00881823">
            <w:r>
              <w:t>4</w:t>
            </w:r>
          </w:p>
        </w:tc>
        <w:tc>
          <w:tcPr>
            <w:tcW w:w="1620" w:type="dxa"/>
          </w:tcPr>
          <w:p w14:paraId="04BEC89A" w14:textId="6457888C" w:rsidR="00881823" w:rsidRDefault="00EF6888" w:rsidP="00881823">
            <w:r>
              <w:t>3</w:t>
            </w:r>
          </w:p>
        </w:tc>
        <w:tc>
          <w:tcPr>
            <w:tcW w:w="1800" w:type="dxa"/>
          </w:tcPr>
          <w:p w14:paraId="26226708" w14:textId="5DA95E13" w:rsidR="00881823" w:rsidRDefault="00EF6888" w:rsidP="00881823">
            <w:r>
              <w:t>3</w:t>
            </w:r>
          </w:p>
        </w:tc>
        <w:tc>
          <w:tcPr>
            <w:tcW w:w="1591" w:type="dxa"/>
          </w:tcPr>
          <w:p w14:paraId="10D76265" w14:textId="72C906F8" w:rsidR="00881823" w:rsidRDefault="00EF6888" w:rsidP="00881823">
            <w:r>
              <w:t>10</w:t>
            </w:r>
          </w:p>
        </w:tc>
        <w:tc>
          <w:tcPr>
            <w:tcW w:w="4434" w:type="dxa"/>
          </w:tcPr>
          <w:p w14:paraId="31E670EB" w14:textId="223F8E44" w:rsidR="00881823" w:rsidRDefault="00881823" w:rsidP="00881823">
            <w:r>
              <w:t xml:space="preserve">Despite the challenges that exist in establishing partnership, the DMS program has been effective in obtaining numerous clinical partnerships with local hospitals. This has resulted in majority of students to be able to </w:t>
            </w:r>
            <w:r>
              <w:lastRenderedPageBreak/>
              <w:t>find employment upon completing the program.</w:t>
            </w:r>
          </w:p>
        </w:tc>
      </w:tr>
      <w:tr w:rsidR="00881823" w:rsidRPr="00823434" w14:paraId="26C965D1" w14:textId="77777777" w:rsidTr="009E48DC">
        <w:tc>
          <w:tcPr>
            <w:tcW w:w="3235" w:type="dxa"/>
          </w:tcPr>
          <w:p w14:paraId="7A67808A" w14:textId="77777777" w:rsidR="00881823" w:rsidRPr="00EB2442" w:rsidRDefault="00881823" w:rsidP="00881823">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710" w:type="dxa"/>
          </w:tcPr>
          <w:p w14:paraId="6FBB268A" w14:textId="6DC65BE9" w:rsidR="00881823" w:rsidRPr="00823434" w:rsidRDefault="00EF6888" w:rsidP="00881823">
            <w:pPr>
              <w:rPr>
                <w:sz w:val="20"/>
                <w:szCs w:val="20"/>
              </w:rPr>
            </w:pPr>
            <w:r>
              <w:t>4</w:t>
            </w:r>
          </w:p>
        </w:tc>
        <w:tc>
          <w:tcPr>
            <w:tcW w:w="1620" w:type="dxa"/>
          </w:tcPr>
          <w:p w14:paraId="79C27870" w14:textId="1E54F5FB" w:rsidR="00881823" w:rsidRPr="00823434" w:rsidRDefault="00EF6888" w:rsidP="00881823">
            <w:pPr>
              <w:rPr>
                <w:sz w:val="20"/>
                <w:szCs w:val="20"/>
              </w:rPr>
            </w:pPr>
            <w:r>
              <w:t>3</w:t>
            </w:r>
          </w:p>
        </w:tc>
        <w:tc>
          <w:tcPr>
            <w:tcW w:w="1800" w:type="dxa"/>
          </w:tcPr>
          <w:p w14:paraId="349347B7" w14:textId="4CDC2449" w:rsidR="00881823" w:rsidRPr="00823434" w:rsidRDefault="00EF6888" w:rsidP="00881823">
            <w:pPr>
              <w:rPr>
                <w:sz w:val="20"/>
                <w:szCs w:val="20"/>
              </w:rPr>
            </w:pPr>
            <w:r>
              <w:t>3</w:t>
            </w:r>
          </w:p>
        </w:tc>
        <w:tc>
          <w:tcPr>
            <w:tcW w:w="1591" w:type="dxa"/>
          </w:tcPr>
          <w:p w14:paraId="11330808" w14:textId="7D78C94B" w:rsidR="00881823" w:rsidRPr="00823434" w:rsidRDefault="00EF6888" w:rsidP="00881823">
            <w:pPr>
              <w:rPr>
                <w:sz w:val="20"/>
                <w:szCs w:val="20"/>
              </w:rPr>
            </w:pPr>
            <w:r>
              <w:t>10</w:t>
            </w:r>
          </w:p>
        </w:tc>
        <w:tc>
          <w:tcPr>
            <w:tcW w:w="4434" w:type="dxa"/>
          </w:tcPr>
          <w:p w14:paraId="6DC7D87F" w14:textId="78DB747C" w:rsidR="00881823" w:rsidRPr="00823434" w:rsidRDefault="00881823" w:rsidP="00881823">
            <w:pPr>
              <w:rPr>
                <w:sz w:val="20"/>
                <w:szCs w:val="20"/>
              </w:rPr>
            </w:pPr>
            <w:r w:rsidRPr="00881823">
              <w:rPr>
                <w:sz w:val="20"/>
                <w:szCs w:val="20"/>
              </w:rPr>
              <w:t>It is noteworthy that the DMS faculty and staff actively pursue and participate in continuing education. This is evident by the wide variety of developmental activities they engaged in and the valuable contributions to the program.</w:t>
            </w:r>
          </w:p>
        </w:tc>
      </w:tr>
      <w:tr w:rsidR="00881823" w:rsidRPr="00823434" w14:paraId="00FA2EEC" w14:textId="77777777" w:rsidTr="009E48DC">
        <w:tc>
          <w:tcPr>
            <w:tcW w:w="3235" w:type="dxa"/>
          </w:tcPr>
          <w:p w14:paraId="1753C923" w14:textId="77777777" w:rsidR="00881823" w:rsidRPr="00EB2442" w:rsidRDefault="00881823" w:rsidP="00881823">
            <w:pPr>
              <w:rPr>
                <w:sz w:val="20"/>
                <w:szCs w:val="20"/>
              </w:rPr>
            </w:pPr>
            <w:r w:rsidRPr="00EB2442">
              <w:rPr>
                <w:sz w:val="20"/>
                <w:szCs w:val="20"/>
              </w:rPr>
              <w:t xml:space="preserve">9. </w:t>
            </w:r>
            <w:r>
              <w:rPr>
                <w:sz w:val="20"/>
                <w:szCs w:val="20"/>
              </w:rPr>
              <w:t xml:space="preserve">[Optional] </w:t>
            </w:r>
            <w:r w:rsidRPr="00EB2442">
              <w:rPr>
                <w:sz w:val="20"/>
                <w:szCs w:val="20"/>
              </w:rPr>
              <w:t xml:space="preserve">Does the program have adequate facilities, </w:t>
            </w:r>
            <w:proofErr w:type="gramStart"/>
            <w:r w:rsidRPr="00EB2442">
              <w:rPr>
                <w:sz w:val="20"/>
                <w:szCs w:val="20"/>
              </w:rPr>
              <w:t>equipment</w:t>
            </w:r>
            <w:proofErr w:type="gramEnd"/>
            <w:r w:rsidRPr="00EB2442">
              <w:rPr>
                <w:sz w:val="20"/>
                <w:szCs w:val="20"/>
              </w:rPr>
              <w:t xml:space="preserve"> and financial resources?</w:t>
            </w:r>
          </w:p>
        </w:tc>
        <w:tc>
          <w:tcPr>
            <w:tcW w:w="1710" w:type="dxa"/>
            <w:shd w:val="clear" w:color="auto" w:fill="C4BC96" w:themeFill="background2" w:themeFillShade="BF"/>
          </w:tcPr>
          <w:p w14:paraId="0457FEC3" w14:textId="77777777" w:rsidR="00881823" w:rsidRPr="008A3AFC" w:rsidRDefault="00881823" w:rsidP="00881823">
            <w:pPr>
              <w:rPr>
                <w:color w:val="C4BC96" w:themeColor="background2" w:themeShade="BF"/>
                <w:sz w:val="20"/>
                <w:szCs w:val="20"/>
              </w:rPr>
            </w:pPr>
          </w:p>
        </w:tc>
        <w:tc>
          <w:tcPr>
            <w:tcW w:w="1620" w:type="dxa"/>
            <w:shd w:val="clear" w:color="auto" w:fill="C4BC96" w:themeFill="background2" w:themeFillShade="BF"/>
          </w:tcPr>
          <w:p w14:paraId="3ED53769" w14:textId="77777777" w:rsidR="00881823" w:rsidRPr="008A3AFC" w:rsidRDefault="00881823" w:rsidP="00881823">
            <w:pPr>
              <w:rPr>
                <w:color w:val="C4BC96" w:themeColor="background2" w:themeShade="BF"/>
                <w:sz w:val="20"/>
                <w:szCs w:val="20"/>
              </w:rPr>
            </w:pPr>
          </w:p>
        </w:tc>
        <w:tc>
          <w:tcPr>
            <w:tcW w:w="1800" w:type="dxa"/>
            <w:shd w:val="clear" w:color="auto" w:fill="C4BC96" w:themeFill="background2" w:themeFillShade="BF"/>
          </w:tcPr>
          <w:p w14:paraId="14BB964E" w14:textId="77777777" w:rsidR="00881823" w:rsidRPr="008A3AFC" w:rsidRDefault="00881823" w:rsidP="00881823">
            <w:pPr>
              <w:rPr>
                <w:color w:val="C4BC96" w:themeColor="background2" w:themeShade="BF"/>
                <w:sz w:val="20"/>
                <w:szCs w:val="20"/>
              </w:rPr>
            </w:pPr>
          </w:p>
        </w:tc>
        <w:tc>
          <w:tcPr>
            <w:tcW w:w="1591" w:type="dxa"/>
            <w:shd w:val="clear" w:color="auto" w:fill="C4BC96" w:themeFill="background2" w:themeFillShade="BF"/>
          </w:tcPr>
          <w:p w14:paraId="7B81FC09" w14:textId="77777777" w:rsidR="00881823" w:rsidRPr="008A3AFC" w:rsidRDefault="00881823" w:rsidP="00881823">
            <w:pPr>
              <w:rPr>
                <w:color w:val="C4BC96" w:themeColor="background2" w:themeShade="BF"/>
                <w:sz w:val="20"/>
                <w:szCs w:val="20"/>
              </w:rPr>
            </w:pPr>
          </w:p>
        </w:tc>
        <w:tc>
          <w:tcPr>
            <w:tcW w:w="4434" w:type="dxa"/>
            <w:shd w:val="clear" w:color="auto" w:fill="auto"/>
          </w:tcPr>
          <w:p w14:paraId="44AECCF8" w14:textId="77777777" w:rsidR="00881823" w:rsidRPr="008A3AFC" w:rsidRDefault="00881823" w:rsidP="00881823">
            <w:pPr>
              <w:rPr>
                <w:color w:val="C4BC96" w:themeColor="background2" w:themeShade="BF"/>
                <w:sz w:val="20"/>
                <w:szCs w:val="20"/>
              </w:rPr>
            </w:pPr>
          </w:p>
        </w:tc>
      </w:tr>
      <w:tr w:rsidR="00881823" w:rsidRPr="00823434" w14:paraId="3C25F0E0" w14:textId="77777777" w:rsidTr="009E48DC">
        <w:tc>
          <w:tcPr>
            <w:tcW w:w="3235" w:type="dxa"/>
          </w:tcPr>
          <w:p w14:paraId="18E6CBA2" w14:textId="77777777" w:rsidR="00881823" w:rsidRPr="00EB2442" w:rsidRDefault="00881823" w:rsidP="00881823">
            <w:pPr>
              <w:rPr>
                <w:sz w:val="20"/>
                <w:szCs w:val="20"/>
              </w:rPr>
            </w:pPr>
            <w:r w:rsidRPr="00EB2442">
              <w:rPr>
                <w:sz w:val="20"/>
                <w:szCs w:val="20"/>
              </w:rPr>
              <w:t>10. How have past CIPs contributed to success?</w:t>
            </w:r>
          </w:p>
        </w:tc>
        <w:tc>
          <w:tcPr>
            <w:tcW w:w="1710" w:type="dxa"/>
          </w:tcPr>
          <w:p w14:paraId="691ECCA8" w14:textId="3058086E" w:rsidR="00881823" w:rsidRPr="00823434" w:rsidRDefault="00EF6888" w:rsidP="00881823">
            <w:pPr>
              <w:rPr>
                <w:sz w:val="20"/>
                <w:szCs w:val="20"/>
              </w:rPr>
            </w:pPr>
            <w:r>
              <w:t>4</w:t>
            </w:r>
          </w:p>
        </w:tc>
        <w:tc>
          <w:tcPr>
            <w:tcW w:w="1620" w:type="dxa"/>
          </w:tcPr>
          <w:p w14:paraId="5D9E4752" w14:textId="36E87C24" w:rsidR="00881823" w:rsidRPr="00823434" w:rsidRDefault="00EF6888" w:rsidP="00881823">
            <w:pPr>
              <w:rPr>
                <w:sz w:val="20"/>
                <w:szCs w:val="20"/>
              </w:rPr>
            </w:pPr>
            <w:r>
              <w:t>3</w:t>
            </w:r>
          </w:p>
        </w:tc>
        <w:tc>
          <w:tcPr>
            <w:tcW w:w="1800" w:type="dxa"/>
          </w:tcPr>
          <w:p w14:paraId="1C2307CE" w14:textId="6A564853" w:rsidR="00881823" w:rsidRPr="00823434" w:rsidRDefault="00EF6888" w:rsidP="00881823">
            <w:pPr>
              <w:rPr>
                <w:sz w:val="20"/>
                <w:szCs w:val="20"/>
              </w:rPr>
            </w:pPr>
            <w:r>
              <w:t>3</w:t>
            </w:r>
          </w:p>
        </w:tc>
        <w:tc>
          <w:tcPr>
            <w:tcW w:w="1591" w:type="dxa"/>
          </w:tcPr>
          <w:p w14:paraId="06EF3CB6" w14:textId="4FE6B04D" w:rsidR="00881823" w:rsidRPr="00823434" w:rsidRDefault="00EF6888" w:rsidP="00881823">
            <w:pPr>
              <w:rPr>
                <w:sz w:val="20"/>
                <w:szCs w:val="20"/>
              </w:rPr>
            </w:pPr>
            <w:r>
              <w:t>10</w:t>
            </w:r>
          </w:p>
        </w:tc>
        <w:tc>
          <w:tcPr>
            <w:tcW w:w="4434" w:type="dxa"/>
          </w:tcPr>
          <w:p w14:paraId="22F8C18D" w14:textId="20D48E7C" w:rsidR="00881823" w:rsidRPr="00823434" w:rsidRDefault="00881823" w:rsidP="00881823">
            <w:pPr>
              <w:rPr>
                <w:sz w:val="20"/>
                <w:szCs w:val="20"/>
              </w:rPr>
            </w:pPr>
            <w:r>
              <w:rPr>
                <w:sz w:val="20"/>
                <w:szCs w:val="20"/>
              </w:rPr>
              <w:t>C</w:t>
            </w:r>
            <w:r w:rsidRPr="000C13A7">
              <w:rPr>
                <w:sz w:val="20"/>
                <w:szCs w:val="20"/>
              </w:rPr>
              <w:t>ontinuous improvement plans have contributed to success by addressing identified deficiencies</w:t>
            </w:r>
            <w:r>
              <w:rPr>
                <w:sz w:val="20"/>
                <w:szCs w:val="20"/>
              </w:rPr>
              <w:t>.</w:t>
            </w:r>
          </w:p>
        </w:tc>
      </w:tr>
      <w:tr w:rsidR="00881823" w:rsidRPr="00823434" w14:paraId="4976CFEF" w14:textId="77777777" w:rsidTr="009E48DC">
        <w:tc>
          <w:tcPr>
            <w:tcW w:w="3235" w:type="dxa"/>
          </w:tcPr>
          <w:p w14:paraId="16969320" w14:textId="77777777" w:rsidR="00881823" w:rsidRPr="00EB2442" w:rsidRDefault="00881823" w:rsidP="00881823">
            <w:pPr>
              <w:rPr>
                <w:sz w:val="20"/>
                <w:szCs w:val="20"/>
              </w:rPr>
            </w:pPr>
            <w:r w:rsidRPr="00EB2442">
              <w:rPr>
                <w:sz w:val="20"/>
                <w:szCs w:val="20"/>
              </w:rPr>
              <w:t>11.  How will program evaluate its success?</w:t>
            </w:r>
          </w:p>
        </w:tc>
        <w:tc>
          <w:tcPr>
            <w:tcW w:w="1710" w:type="dxa"/>
          </w:tcPr>
          <w:p w14:paraId="2996EC9F" w14:textId="6FDB0C70" w:rsidR="00881823" w:rsidRPr="00823434" w:rsidRDefault="00EF6888" w:rsidP="00881823">
            <w:pPr>
              <w:rPr>
                <w:sz w:val="20"/>
                <w:szCs w:val="20"/>
              </w:rPr>
            </w:pPr>
            <w:r>
              <w:t>4</w:t>
            </w:r>
          </w:p>
        </w:tc>
        <w:tc>
          <w:tcPr>
            <w:tcW w:w="1620" w:type="dxa"/>
          </w:tcPr>
          <w:p w14:paraId="1E0059DE" w14:textId="5B11040C" w:rsidR="00881823" w:rsidRPr="00823434" w:rsidRDefault="00EF6888" w:rsidP="00881823">
            <w:pPr>
              <w:rPr>
                <w:sz w:val="20"/>
                <w:szCs w:val="20"/>
              </w:rPr>
            </w:pPr>
            <w:r>
              <w:t>3</w:t>
            </w:r>
          </w:p>
        </w:tc>
        <w:tc>
          <w:tcPr>
            <w:tcW w:w="1800" w:type="dxa"/>
          </w:tcPr>
          <w:p w14:paraId="0E8465C7" w14:textId="27EACD3F" w:rsidR="00881823" w:rsidRPr="00823434" w:rsidRDefault="00EF6888" w:rsidP="00881823">
            <w:pPr>
              <w:rPr>
                <w:sz w:val="20"/>
                <w:szCs w:val="20"/>
              </w:rPr>
            </w:pPr>
            <w:r>
              <w:t>3</w:t>
            </w:r>
          </w:p>
        </w:tc>
        <w:tc>
          <w:tcPr>
            <w:tcW w:w="1591" w:type="dxa"/>
          </w:tcPr>
          <w:p w14:paraId="08414BC1" w14:textId="47386805" w:rsidR="00881823" w:rsidRPr="00823434" w:rsidRDefault="00EF6888" w:rsidP="00881823">
            <w:pPr>
              <w:rPr>
                <w:sz w:val="20"/>
                <w:szCs w:val="20"/>
              </w:rPr>
            </w:pPr>
            <w:r>
              <w:t>10</w:t>
            </w:r>
          </w:p>
        </w:tc>
        <w:tc>
          <w:tcPr>
            <w:tcW w:w="4434" w:type="dxa"/>
          </w:tcPr>
          <w:p w14:paraId="4C03D107" w14:textId="3A4CA5E5" w:rsidR="00881823" w:rsidRPr="00823434" w:rsidRDefault="00881823" w:rsidP="00881823">
            <w:pPr>
              <w:rPr>
                <w:sz w:val="20"/>
                <w:szCs w:val="20"/>
              </w:rPr>
            </w:pPr>
            <w:r w:rsidRPr="00C16019">
              <w:rPr>
                <w:sz w:val="20"/>
                <w:szCs w:val="20"/>
              </w:rPr>
              <w:t xml:space="preserve">The program will evaluate its success through ongoing monitoring of retention rates, registry exam </w:t>
            </w:r>
            <w:proofErr w:type="gramStart"/>
            <w:r w:rsidRPr="00C16019">
              <w:rPr>
                <w:sz w:val="20"/>
                <w:szCs w:val="20"/>
              </w:rPr>
              <w:t>pass</w:t>
            </w:r>
            <w:proofErr w:type="gramEnd"/>
            <w:r w:rsidRPr="00C16019">
              <w:rPr>
                <w:sz w:val="20"/>
                <w:szCs w:val="20"/>
              </w:rPr>
              <w:t xml:space="preserve"> rates, employer feedback, and the proportion of male students enrolled in the program compared to previous years.</w:t>
            </w:r>
          </w:p>
        </w:tc>
      </w:tr>
      <w:tr w:rsidR="00881823" w:rsidRPr="00823434" w14:paraId="78BA8759" w14:textId="77777777" w:rsidTr="009E48DC">
        <w:trPr>
          <w:trHeight w:val="680"/>
        </w:trPr>
        <w:tc>
          <w:tcPr>
            <w:tcW w:w="3235" w:type="dxa"/>
          </w:tcPr>
          <w:p w14:paraId="6E13EE38" w14:textId="77777777" w:rsidR="00881823" w:rsidRPr="00EB2442" w:rsidRDefault="00881823" w:rsidP="00881823">
            <w:pPr>
              <w:ind w:left="-30"/>
              <w:rPr>
                <w:sz w:val="20"/>
                <w:szCs w:val="20"/>
              </w:rPr>
            </w:pPr>
            <w:r w:rsidRPr="00EB2442">
              <w:rPr>
                <w:sz w:val="20"/>
                <w:szCs w:val="20"/>
              </w:rPr>
              <w:t>12. Future Continuous Improvement Plan (CIP)</w:t>
            </w:r>
          </w:p>
        </w:tc>
        <w:tc>
          <w:tcPr>
            <w:tcW w:w="1710" w:type="dxa"/>
          </w:tcPr>
          <w:p w14:paraId="0DA6D7DA" w14:textId="74EA08CA" w:rsidR="00881823" w:rsidRPr="00823434" w:rsidRDefault="00EF6888" w:rsidP="00881823">
            <w:pPr>
              <w:rPr>
                <w:sz w:val="20"/>
                <w:szCs w:val="20"/>
              </w:rPr>
            </w:pPr>
            <w:r>
              <w:t>10</w:t>
            </w:r>
          </w:p>
        </w:tc>
        <w:tc>
          <w:tcPr>
            <w:tcW w:w="1620" w:type="dxa"/>
            <w:shd w:val="clear" w:color="auto" w:fill="C4BC96" w:themeFill="background2" w:themeFillShade="BF"/>
          </w:tcPr>
          <w:p w14:paraId="54B38343" w14:textId="77777777" w:rsidR="00881823" w:rsidRPr="008A3AFC" w:rsidRDefault="00881823" w:rsidP="00881823">
            <w:pPr>
              <w:rPr>
                <w:color w:val="C4BC96" w:themeColor="background2" w:themeShade="BF"/>
                <w:sz w:val="20"/>
                <w:szCs w:val="20"/>
              </w:rPr>
            </w:pPr>
          </w:p>
        </w:tc>
        <w:tc>
          <w:tcPr>
            <w:tcW w:w="1800" w:type="dxa"/>
            <w:shd w:val="clear" w:color="auto" w:fill="C4BC96" w:themeFill="background2" w:themeFillShade="BF"/>
          </w:tcPr>
          <w:p w14:paraId="05BF7C9B" w14:textId="77777777" w:rsidR="00881823" w:rsidRPr="008A3AFC" w:rsidRDefault="00881823" w:rsidP="00881823">
            <w:pPr>
              <w:rPr>
                <w:color w:val="C4BC96" w:themeColor="background2" w:themeShade="BF"/>
                <w:sz w:val="20"/>
                <w:szCs w:val="20"/>
              </w:rPr>
            </w:pPr>
          </w:p>
        </w:tc>
        <w:tc>
          <w:tcPr>
            <w:tcW w:w="1591" w:type="dxa"/>
          </w:tcPr>
          <w:p w14:paraId="1E1C02EE" w14:textId="2776838B" w:rsidR="00881823" w:rsidRPr="00823434" w:rsidRDefault="00EF6888" w:rsidP="00881823">
            <w:pPr>
              <w:rPr>
                <w:sz w:val="20"/>
                <w:szCs w:val="20"/>
              </w:rPr>
            </w:pPr>
            <w:r>
              <w:t>10</w:t>
            </w:r>
          </w:p>
        </w:tc>
        <w:tc>
          <w:tcPr>
            <w:tcW w:w="4434" w:type="dxa"/>
          </w:tcPr>
          <w:p w14:paraId="33A915EA" w14:textId="19F5AD0F" w:rsidR="00881823" w:rsidRPr="00823434" w:rsidRDefault="00604C5B" w:rsidP="00881823">
            <w:pPr>
              <w:rPr>
                <w:sz w:val="20"/>
                <w:szCs w:val="20"/>
              </w:rPr>
            </w:pPr>
            <w:r w:rsidRPr="00604C5B">
              <w:rPr>
                <w:sz w:val="20"/>
                <w:szCs w:val="20"/>
              </w:rPr>
              <w:t>Students will engage in simulated scenarios to enhance their communication skills with patients and the healthcare team, while also focusing on technical accuracy and optimization techniques in diagnostic procedures.</w:t>
            </w:r>
          </w:p>
        </w:tc>
      </w:tr>
    </w:tbl>
    <w:p w14:paraId="26E75D44" w14:textId="77777777" w:rsidR="00823434" w:rsidRDefault="00823434" w:rsidP="00BB53E5">
      <w:pPr>
        <w:ind w:firstLine="720"/>
        <w:rPr>
          <w:sz w:val="20"/>
          <w:szCs w:val="20"/>
        </w:rPr>
      </w:pPr>
    </w:p>
    <w:p w14:paraId="14F1BDD1" w14:textId="77777777" w:rsidR="00101233" w:rsidRDefault="00101233" w:rsidP="0029032F">
      <w:pPr>
        <w:rPr>
          <w:sz w:val="20"/>
          <w:szCs w:val="20"/>
        </w:rPr>
      </w:pPr>
    </w:p>
    <w:p w14:paraId="190BB2AD" w14:textId="77777777" w:rsidR="00101233" w:rsidRPr="00865A44" w:rsidRDefault="00101233" w:rsidP="00101233">
      <w:pPr>
        <w:rPr>
          <w:rFonts w:ascii="Calibri" w:eastAsia="Calibri" w:hAnsi="Calibri" w:cs="Times New Roman"/>
        </w:rPr>
      </w:pPr>
    </w:p>
    <w:p w14:paraId="70D24FB7"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32CC891C" w14:textId="77777777" w:rsidTr="00553946">
        <w:tc>
          <w:tcPr>
            <w:tcW w:w="3116" w:type="dxa"/>
          </w:tcPr>
          <w:p w14:paraId="4F491A83" w14:textId="77777777" w:rsidR="000C516F" w:rsidRPr="00865A44" w:rsidRDefault="000C516F" w:rsidP="007C4434">
            <w:pPr>
              <w:jc w:val="center"/>
              <w:rPr>
                <w:sz w:val="24"/>
                <w:szCs w:val="24"/>
              </w:rPr>
            </w:pPr>
            <w:r w:rsidRPr="00865A44">
              <w:rPr>
                <w:rFonts w:ascii="Calibri" w:eastAsia="Calibri" w:hAnsi="Calibri" w:cs="Times New Roman"/>
                <w:sz w:val="24"/>
                <w:szCs w:val="24"/>
              </w:rPr>
              <w:lastRenderedPageBreak/>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428AF72B"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683915D1" w14:textId="77777777"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14:paraId="7106F406"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6BB4C578" w14:textId="77777777" w:rsidR="00101233" w:rsidRDefault="00101233" w:rsidP="00101233">
      <w:pPr>
        <w:jc w:val="center"/>
      </w:pPr>
    </w:p>
    <w:p w14:paraId="110885AE" w14:textId="77777777" w:rsidR="00101233" w:rsidRDefault="00101233" w:rsidP="00101233"/>
    <w:p w14:paraId="0EFD2C12"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3C299852" wp14:editId="22C5693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2B656AC4" w14:textId="48C55D21" w:rsidR="00101233" w:rsidRDefault="00D23023">
                            <w:r>
                              <w:t>Great program!  Clear and co</w:t>
                            </w:r>
                            <w:r w:rsidR="00C16019">
                              <w:t>ncise</w:t>
                            </w:r>
                            <w:r>
                              <w:t xml:space="preserve"> explanation </w:t>
                            </w:r>
                            <w:r w:rsidR="00C16019">
                              <w:t xml:space="preserve">of all the areas of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9852"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2B656AC4" w14:textId="48C55D21" w:rsidR="00101233" w:rsidRDefault="00D23023">
                      <w:r>
                        <w:t>Great program!  Clear and co</w:t>
                      </w:r>
                      <w:r w:rsidR="00C16019">
                        <w:t>ncise</w:t>
                      </w:r>
                      <w:r>
                        <w:t xml:space="preserve"> explanation </w:t>
                      </w:r>
                      <w:r w:rsidR="00C16019">
                        <w:t xml:space="preserve">of all the areas of the program. </w:t>
                      </w:r>
                    </w:p>
                  </w:txbxContent>
                </v:textbox>
                <w10:wrap type="square"/>
              </v:shape>
            </w:pict>
          </mc:Fallback>
        </mc:AlternateContent>
      </w:r>
      <w:r w:rsidRPr="00101233">
        <w:rPr>
          <w:b/>
        </w:rPr>
        <w:t>General comments about the submission or rationale for the conclusion:</w:t>
      </w:r>
    </w:p>
    <w:p w14:paraId="2190696F" w14:textId="77777777" w:rsidR="00101233" w:rsidRDefault="00101233" w:rsidP="0029032F">
      <w:pPr>
        <w:rPr>
          <w:sz w:val="20"/>
          <w:szCs w:val="20"/>
        </w:rPr>
      </w:pPr>
    </w:p>
    <w:sectPr w:rsidR="00101233" w:rsidSect="00A338F0">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4A1E" w14:textId="77777777" w:rsidR="00A338F0" w:rsidRDefault="00A338F0" w:rsidP="00B01512">
      <w:pPr>
        <w:spacing w:after="0" w:line="240" w:lineRule="auto"/>
      </w:pPr>
      <w:r>
        <w:separator/>
      </w:r>
    </w:p>
  </w:endnote>
  <w:endnote w:type="continuationSeparator" w:id="0">
    <w:p w14:paraId="7F8D27BB" w14:textId="77777777" w:rsidR="00A338F0" w:rsidRDefault="00A338F0"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F2EA"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A887" w14:textId="77777777" w:rsidR="00A338F0" w:rsidRDefault="00A338F0" w:rsidP="00B01512">
      <w:pPr>
        <w:spacing w:after="0" w:line="240" w:lineRule="auto"/>
      </w:pPr>
      <w:r>
        <w:separator/>
      </w:r>
    </w:p>
  </w:footnote>
  <w:footnote w:type="continuationSeparator" w:id="0">
    <w:p w14:paraId="498C2A76" w14:textId="77777777" w:rsidR="00A338F0" w:rsidRDefault="00A338F0"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785A" w14:textId="77777777" w:rsidR="003936B8" w:rsidRDefault="00FE3878" w:rsidP="00FE3878">
    <w:pPr>
      <w:pStyle w:val="Header"/>
    </w:pPr>
    <w:r>
      <w:rPr>
        <w:noProof/>
      </w:rPr>
      <w:drawing>
        <wp:anchor distT="0" distB="0" distL="114300" distR="114300" simplePos="0" relativeHeight="251658240" behindDoc="0" locked="0" layoutInCell="1" allowOverlap="1" wp14:anchorId="2A211882" wp14:editId="52B60187">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2313F5F4"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4FCF62A3" w14:textId="77777777" w:rsidR="002540F4" w:rsidRDefault="002540F4" w:rsidP="002540F4">
    <w:pPr>
      <w:pStyle w:val="Header"/>
      <w:jc w:val="center"/>
    </w:pPr>
  </w:p>
  <w:p w14:paraId="6207EE9D" w14:textId="77777777" w:rsidR="003936B8" w:rsidRDefault="003936B8" w:rsidP="002540F4">
    <w:pPr>
      <w:pStyle w:val="Header"/>
      <w:jc w:val="center"/>
    </w:pPr>
  </w:p>
  <w:p w14:paraId="6559F059" w14:textId="0583B28B" w:rsidR="002540F4" w:rsidRPr="003A1B2E" w:rsidRDefault="002540F4" w:rsidP="002540F4">
    <w:pPr>
      <w:pStyle w:val="Header"/>
      <w:rPr>
        <w:b/>
      </w:rPr>
    </w:pPr>
    <w:r w:rsidRPr="003A1B2E">
      <w:rPr>
        <w:b/>
      </w:rPr>
      <w:t xml:space="preserve">Program: </w:t>
    </w:r>
    <w:r w:rsidR="001801D4">
      <w:rPr>
        <w:b/>
      </w:rPr>
      <w:t>Diagnostic Medical Sonography</w:t>
    </w:r>
    <w:r w:rsidRPr="003A1B2E">
      <w:rPr>
        <w:b/>
      </w:rPr>
      <w:t xml:space="preserve">         Reviewer</w:t>
    </w:r>
    <w:r w:rsidR="003936B8" w:rsidRPr="003A1B2E">
      <w:rPr>
        <w:b/>
      </w:rPr>
      <w:t>:</w:t>
    </w:r>
    <w:r w:rsidRPr="003A1B2E">
      <w:rPr>
        <w:b/>
      </w:rPr>
      <w:t xml:space="preserve">  </w:t>
    </w:r>
    <w:r w:rsidR="001801D4">
      <w:rPr>
        <w:b/>
      </w:rPr>
      <w:t xml:space="preserve">Ophelia </w:t>
    </w:r>
    <w:proofErr w:type="spellStart"/>
    <w:r w:rsidR="001801D4">
      <w:rPr>
        <w:b/>
      </w:rPr>
      <w:t>Eftekhar</w:t>
    </w:r>
    <w:proofErr w:type="spellEnd"/>
  </w:p>
  <w:p w14:paraId="46667513"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84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556E1"/>
    <w:rsid w:val="000755A3"/>
    <w:rsid w:val="000B2E80"/>
    <w:rsid w:val="000B370E"/>
    <w:rsid w:val="000C13A7"/>
    <w:rsid w:val="000C516F"/>
    <w:rsid w:val="000E34DD"/>
    <w:rsid w:val="00101233"/>
    <w:rsid w:val="00126303"/>
    <w:rsid w:val="001409AC"/>
    <w:rsid w:val="001801D4"/>
    <w:rsid w:val="00186620"/>
    <w:rsid w:val="001A7AFC"/>
    <w:rsid w:val="001F0162"/>
    <w:rsid w:val="002049D6"/>
    <w:rsid w:val="002148CA"/>
    <w:rsid w:val="00221F1E"/>
    <w:rsid w:val="002479C9"/>
    <w:rsid w:val="002540F4"/>
    <w:rsid w:val="0029032F"/>
    <w:rsid w:val="002B2552"/>
    <w:rsid w:val="003936B8"/>
    <w:rsid w:val="003A1B2E"/>
    <w:rsid w:val="004A25E8"/>
    <w:rsid w:val="004A6DA5"/>
    <w:rsid w:val="004E0903"/>
    <w:rsid w:val="00522547"/>
    <w:rsid w:val="005357E9"/>
    <w:rsid w:val="0054350A"/>
    <w:rsid w:val="00547213"/>
    <w:rsid w:val="00577F53"/>
    <w:rsid w:val="006031F5"/>
    <w:rsid w:val="00604C5B"/>
    <w:rsid w:val="00662651"/>
    <w:rsid w:val="00686750"/>
    <w:rsid w:val="006E4B69"/>
    <w:rsid w:val="006E7B2B"/>
    <w:rsid w:val="00727E36"/>
    <w:rsid w:val="00755071"/>
    <w:rsid w:val="00756D36"/>
    <w:rsid w:val="00757438"/>
    <w:rsid w:val="00785CEB"/>
    <w:rsid w:val="007D1A57"/>
    <w:rsid w:val="008032D0"/>
    <w:rsid w:val="00823434"/>
    <w:rsid w:val="0083136D"/>
    <w:rsid w:val="00852248"/>
    <w:rsid w:val="00881823"/>
    <w:rsid w:val="008904DE"/>
    <w:rsid w:val="008A3AFC"/>
    <w:rsid w:val="008B5078"/>
    <w:rsid w:val="008B6986"/>
    <w:rsid w:val="008D7196"/>
    <w:rsid w:val="009007CB"/>
    <w:rsid w:val="0094432D"/>
    <w:rsid w:val="00963794"/>
    <w:rsid w:val="009968A0"/>
    <w:rsid w:val="009E48DC"/>
    <w:rsid w:val="00A25E4B"/>
    <w:rsid w:val="00A338F0"/>
    <w:rsid w:val="00A855B9"/>
    <w:rsid w:val="00A9154E"/>
    <w:rsid w:val="00AC5518"/>
    <w:rsid w:val="00AF4E6B"/>
    <w:rsid w:val="00B01512"/>
    <w:rsid w:val="00B200FD"/>
    <w:rsid w:val="00B21183"/>
    <w:rsid w:val="00B341D4"/>
    <w:rsid w:val="00B43BC1"/>
    <w:rsid w:val="00B65CEF"/>
    <w:rsid w:val="00BB53E5"/>
    <w:rsid w:val="00BF0129"/>
    <w:rsid w:val="00BF5AAF"/>
    <w:rsid w:val="00C06370"/>
    <w:rsid w:val="00C16019"/>
    <w:rsid w:val="00C34898"/>
    <w:rsid w:val="00C61195"/>
    <w:rsid w:val="00C9789C"/>
    <w:rsid w:val="00CC320D"/>
    <w:rsid w:val="00D23023"/>
    <w:rsid w:val="00D25337"/>
    <w:rsid w:val="00D448DC"/>
    <w:rsid w:val="00D463E8"/>
    <w:rsid w:val="00D50D5B"/>
    <w:rsid w:val="00DA2668"/>
    <w:rsid w:val="00DA7AFA"/>
    <w:rsid w:val="00DC0417"/>
    <w:rsid w:val="00DD73E4"/>
    <w:rsid w:val="00DF4042"/>
    <w:rsid w:val="00E23DB6"/>
    <w:rsid w:val="00EB2442"/>
    <w:rsid w:val="00EC5BB5"/>
    <w:rsid w:val="00EC5D1A"/>
    <w:rsid w:val="00EF5FFC"/>
    <w:rsid w:val="00EF6888"/>
    <w:rsid w:val="00F020C9"/>
    <w:rsid w:val="00F235D7"/>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4A27"/>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B91A-537A-4925-858B-DA04C697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Ophelia Eftekhar</cp:lastModifiedBy>
  <cp:revision>4</cp:revision>
  <cp:lastPrinted>2014-09-17T18:56:00Z</cp:lastPrinted>
  <dcterms:created xsi:type="dcterms:W3CDTF">2024-03-18T22:18:00Z</dcterms:created>
  <dcterms:modified xsi:type="dcterms:W3CDTF">2024-03-19T21:53:00Z</dcterms:modified>
</cp:coreProperties>
</file>