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Pr="00727B51" w:rsidR="00AC5518" w:rsidTr="36BF150A" w14:paraId="111A7DB6" w14:textId="77777777">
        <w:trPr>
          <w:tblHeader/>
        </w:trPr>
        <w:tc>
          <w:tcPr>
            <w:tcW w:w="3235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672A6659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tcMar/>
            <w:vAlign w:val="center"/>
          </w:tcPr>
          <w:p w:rsidRPr="00727B51" w:rsidR="008B6986" w:rsidP="00727B51" w:rsidRDefault="008B6986" w14:paraId="440DD40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eastAsia="Times New Roman" w:cstheme="minorHAnsi"/>
                <w:b/>
                <w:sz w:val="20"/>
                <w:szCs w:val="20"/>
              </w:rPr>
              <w:t>Responsive</w:t>
            </w:r>
            <w:r w:rsidRPr="00727B51" w:rsidR="006E4B69">
              <w:rPr>
                <w:rFonts w:eastAsia="Times New Roman" w:cstheme="minorHAnsi"/>
                <w:b/>
                <w:sz w:val="20"/>
                <w:szCs w:val="20"/>
              </w:rPr>
              <w:t>ness</w:t>
            </w:r>
            <w:r w:rsidRPr="00727B51">
              <w:rPr>
                <w:rFonts w:eastAsia="Times New Roman" w:cstheme="minorHAnsi"/>
                <w:b/>
                <w:sz w:val="20"/>
                <w:szCs w:val="20"/>
              </w:rPr>
              <w:t xml:space="preserve"> to the Component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00727B51" w:rsidRDefault="008B6986" w14:paraId="4AE1417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eastAsia="Times New Roman" w:cstheme="minorHAnsi"/>
                <w:b/>
                <w:sz w:val="20"/>
                <w:szCs w:val="20"/>
              </w:rPr>
              <w:t>Evidence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00727B51" w:rsidRDefault="008B6986" w14:paraId="05D34CF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eastAsia="Times New Roman" w:cstheme="minorHAnsi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00727B51" w:rsidRDefault="008B6986" w14:paraId="563E9B35" w14:textId="7777777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27B51">
              <w:rPr>
                <w:rFonts w:eastAsia="Times New Roman" w:cstheme="minorHAnsi"/>
                <w:b/>
                <w:sz w:val="20"/>
                <w:szCs w:val="20"/>
              </w:rPr>
              <w:t>Overall Judgment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00727B51" w:rsidRDefault="008B6986" w14:paraId="3CB4E697" w14:textId="7777777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27B51">
              <w:rPr>
                <w:rFonts w:eastAsia="Times New Roman" w:cstheme="minorHAnsi"/>
                <w:b/>
                <w:sz w:val="20"/>
                <w:szCs w:val="20"/>
              </w:rPr>
              <w:t>Comments</w:t>
            </w:r>
          </w:p>
        </w:tc>
      </w:tr>
      <w:tr w:rsidRPr="00727B51" w:rsidR="00AC5518" w:rsidTr="36BF150A" w14:paraId="16444F08" w14:textId="77777777">
        <w:tc>
          <w:tcPr>
            <w:tcW w:w="3235" w:type="dxa"/>
            <w:tcMar/>
            <w:vAlign w:val="center"/>
          </w:tcPr>
          <w:p w:rsidRPr="00727B51" w:rsidR="008B6986" w:rsidP="00727B51" w:rsidRDefault="008B6986" w14:paraId="62514603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36BF150A" w:rsidRDefault="008F68EB" w14:paraId="2C56991A" w14:textId="6EDB778A">
            <w:pPr>
              <w:rPr>
                <w:rFonts w:eastAsia="Times New Roman"/>
                <w:sz w:val="20"/>
                <w:szCs w:val="20"/>
              </w:rPr>
            </w:pPr>
            <w:r w:rsidRPr="36BF150A" w:rsidR="4A5EE795">
              <w:rPr>
                <w:rFonts w:eastAsia="Times New Roman"/>
                <w:sz w:val="20"/>
                <w:szCs w:val="20"/>
              </w:rPr>
              <w:t>AW</w:t>
            </w:r>
            <w:r w:rsidRPr="36BF150A" w:rsidR="13834CC4"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1620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0A37501D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5DAB6C7B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Mar/>
            <w:vAlign w:val="center"/>
          </w:tcPr>
          <w:p w:rsidRPr="00727B51" w:rsidR="008B6986" w:rsidP="36BF150A" w:rsidRDefault="008F68EB" w14:paraId="5BDDDD1C" w14:textId="710F71ED">
            <w:pPr>
              <w:rPr>
                <w:rFonts w:eastAsia="Times New Roman"/>
                <w:sz w:val="20"/>
                <w:szCs w:val="20"/>
              </w:rPr>
            </w:pPr>
            <w:r w:rsidRPr="36BF150A" w:rsidR="4A5EE795">
              <w:rPr>
                <w:rFonts w:eastAsia="Times New Roman"/>
                <w:sz w:val="20"/>
                <w:szCs w:val="20"/>
              </w:rPr>
              <w:t>AW</w:t>
            </w:r>
            <w:r w:rsidRPr="36BF150A" w:rsidR="384934D3"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36BF150A" w:rsidRDefault="51A1F7E5" w14:paraId="3B43D676" w14:textId="6E1FB6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</w:pPr>
            <w:r w:rsidRPr="36BF150A" w:rsidR="01403A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Response now addresses </w:t>
            </w:r>
            <w:r w:rsidRPr="36BF150A" w:rsidR="74AEDB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>the program’s</w:t>
            </w:r>
            <w:r w:rsidRPr="36BF150A" w:rsidR="01403A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 purpose and impleme</w:t>
            </w:r>
            <w:r w:rsidRPr="36BF150A" w:rsidR="45143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>ntation of their mission statement as well as which marketable skills the program provides their graduates.</w:t>
            </w:r>
            <w:r w:rsidRPr="36BF150A" w:rsidR="2B8F5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727B51" w:rsidR="008B6986" w:rsidP="36BF150A" w:rsidRDefault="51A1F7E5" w14:paraId="6626718E" w14:textId="45EE18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</w:pPr>
          </w:p>
          <w:p w:rsidRPr="00727B51" w:rsidR="008B6986" w:rsidP="36BF150A" w:rsidRDefault="51A1F7E5" w14:paraId="7CF89847" w14:textId="2581EA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</w:pPr>
            <w:r w:rsidRPr="36BF150A" w:rsidR="2B8F5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The response also addresses </w:t>
            </w:r>
            <w:r w:rsidRPr="36BF150A" w:rsidR="70E4C3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connection to the industry served with analysis of student learning outcomes and brief overview of student success following graduation. </w:t>
            </w:r>
          </w:p>
        </w:tc>
      </w:tr>
      <w:tr w:rsidRPr="00727B51" w:rsidR="00AC5518" w:rsidTr="36BF150A" w14:paraId="2A87634C" w14:textId="77777777">
        <w:tc>
          <w:tcPr>
            <w:tcW w:w="3235" w:type="dxa"/>
            <w:tcMar/>
            <w:vAlign w:val="center"/>
          </w:tcPr>
          <w:p w:rsidRPr="00727B51" w:rsidR="008B6986" w:rsidP="00727B51" w:rsidRDefault="008B6986" w14:paraId="480FD9AB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2. Program relationship to</w:t>
            </w:r>
            <w:r w:rsidRPr="00727B51" w:rsidR="006E7B2B">
              <w:rPr>
                <w:rFonts w:cstheme="minorHAnsi"/>
                <w:sz w:val="20"/>
                <w:szCs w:val="20"/>
              </w:rPr>
              <w:t xml:space="preserve"> the college mission</w:t>
            </w:r>
            <w:r w:rsidRPr="00727B51">
              <w:rPr>
                <w:rFonts w:cstheme="minorHAnsi"/>
                <w:sz w:val="20"/>
                <w:szCs w:val="20"/>
              </w:rPr>
              <w:t xml:space="preserve"> and strategic plan</w:t>
            </w:r>
            <w:r w:rsidRPr="00727B51" w:rsidR="00E23DB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36BF150A" w:rsidRDefault="008F68EB" w14:paraId="5F403DC2" w14:textId="16901367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6BF150A" w:rsidR="06081AEB">
              <w:rPr>
                <w:rFonts w:eastAsia="Times New Roman" w:cs="Calibri" w:cstheme="minorAscii"/>
                <w:sz w:val="20"/>
                <w:szCs w:val="20"/>
              </w:rPr>
              <w:t>AWR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36BF150A" w:rsidRDefault="008F68EB" w14:paraId="658F7B61" w14:textId="1DE30480">
            <w:pPr>
              <w:rPr>
                <w:rFonts w:eastAsia="Times New Roman"/>
                <w:sz w:val="20"/>
                <w:szCs w:val="20"/>
              </w:rPr>
            </w:pPr>
            <w:r w:rsidRPr="36BF150A" w:rsidR="06081AEB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445A50FB" w:rsidRDefault="008F68EB" w14:paraId="768C543D" w14:textId="199394F2">
            <w:pPr>
              <w:rPr>
                <w:rFonts w:eastAsia="Times New Roman"/>
                <w:sz w:val="20"/>
                <w:szCs w:val="20"/>
              </w:rPr>
            </w:pPr>
            <w:r w:rsidRPr="36BF150A" w:rsidR="06081AEB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445A50FB" w:rsidRDefault="008F68EB" w14:paraId="57220555" w14:textId="59193B0B">
            <w:pPr>
              <w:rPr>
                <w:rFonts w:eastAsia="Times New Roman"/>
                <w:sz w:val="20"/>
                <w:szCs w:val="20"/>
              </w:rPr>
            </w:pPr>
            <w:r w:rsidRPr="36BF150A" w:rsidR="025F3894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36BF150A" w:rsidRDefault="1B860CC6" w14:paraId="6BAF9DF3" w14:textId="34B9335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</w:pPr>
            <w:r w:rsidRPr="36BF150A" w:rsidR="02F02C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>The response does not include enough detailed evidence in sections discussing strengthening character</w:t>
            </w:r>
            <w:r w:rsidRPr="36BF150A" w:rsidR="0671A8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>,</w:t>
            </w:r>
            <w:r w:rsidRPr="36BF150A" w:rsidR="02F02C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 </w:t>
            </w:r>
            <w:r w:rsidRPr="36BF150A" w:rsidR="41C3CB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(#16) coordinated and systematic approach to stakeholders, and </w:t>
            </w:r>
            <w:r w:rsidRPr="36BF150A" w:rsidR="1D937C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academic excellence. </w:t>
            </w:r>
          </w:p>
        </w:tc>
      </w:tr>
      <w:tr w:rsidRPr="00727B51" w:rsidR="00AC5518" w:rsidTr="36BF150A" w14:paraId="4D69783D" w14:textId="77777777">
        <w:tc>
          <w:tcPr>
            <w:tcW w:w="3235" w:type="dxa"/>
            <w:tcMar/>
            <w:vAlign w:val="center"/>
          </w:tcPr>
          <w:p w:rsidRPr="00727B51" w:rsidR="008B6986" w:rsidP="00727B51" w:rsidRDefault="008B6986" w14:paraId="1C676D8D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3. Program relationship to student demand</w:t>
            </w:r>
            <w:r w:rsidRPr="00727B51" w:rsidR="00E23DB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36BF150A" w:rsidRDefault="008F68EB" w14:paraId="02DDE948" w14:textId="32A1880E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6BF150A" w:rsidR="356EEBC7">
              <w:rPr>
                <w:rFonts w:eastAsia="Times New Roman" w:cs="Calibri" w:cstheme="minorAscii"/>
                <w:sz w:val="20"/>
                <w:szCs w:val="20"/>
              </w:rPr>
              <w:t>AWRC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2A2AB0A7" w:rsidRDefault="02B33C0C" w14:paraId="7D978EB8" w14:textId="672A73C0">
            <w:pPr>
              <w:rPr>
                <w:rFonts w:eastAsia="Times New Roman"/>
                <w:sz w:val="20"/>
                <w:szCs w:val="20"/>
              </w:rPr>
            </w:pPr>
            <w:r w:rsidRPr="36BF150A" w:rsidR="356EEBC7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502C0D29" w:rsidRDefault="008F68EB" w14:paraId="3B5989A5" w14:textId="51A40DC9">
            <w:pPr>
              <w:rPr>
                <w:rFonts w:eastAsia="Times New Roman"/>
                <w:sz w:val="20"/>
                <w:szCs w:val="20"/>
              </w:rPr>
            </w:pPr>
            <w:r w:rsidRPr="36BF150A" w:rsidR="356EEBC7">
              <w:rPr>
                <w:rFonts w:eastAsia="Times New Roman"/>
                <w:sz w:val="20"/>
                <w:szCs w:val="20"/>
              </w:rPr>
              <w:t>AWRC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502C0D29" w:rsidRDefault="008F68EB" w14:paraId="21F9244D" w14:textId="01E7C5E4">
            <w:pPr>
              <w:rPr>
                <w:rFonts w:eastAsia="Times New Roman"/>
                <w:sz w:val="20"/>
                <w:szCs w:val="20"/>
              </w:rPr>
            </w:pPr>
            <w:r w:rsidRPr="36BF150A" w:rsidR="22AAD4D3">
              <w:rPr>
                <w:rFonts w:eastAsia="Times New Roman"/>
                <w:sz w:val="20"/>
                <w:szCs w:val="20"/>
              </w:rPr>
              <w:t>AWRC</w:t>
            </w:r>
          </w:p>
        </w:tc>
        <w:tc>
          <w:tcPr>
            <w:tcW w:w="4434" w:type="dxa"/>
            <w:tcMar/>
            <w:vAlign w:val="center"/>
          </w:tcPr>
          <w:p w:rsidRPr="00727B51" w:rsidR="00F66881" w:rsidP="36BF150A" w:rsidRDefault="00F66881" w14:paraId="12EC7298" w14:textId="73B654D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</w:pPr>
            <w:r w:rsidRPr="36BF150A" w:rsidR="1DF29A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Query </w:t>
            </w:r>
            <w:r w:rsidRPr="36BF150A" w:rsidR="1DF29A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>remains</w:t>
            </w:r>
            <w:r w:rsidRPr="36BF150A" w:rsidR="1DF29A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 weak in its analysis of demographic data. </w:t>
            </w:r>
            <w:r w:rsidRPr="36BF150A" w:rsidR="48191A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Although the response mentions demographic differences within student enrollment </w:t>
            </w:r>
            <w:r w:rsidRPr="36BF150A" w:rsidR="01A31E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>regarding</w:t>
            </w:r>
            <w:r w:rsidRPr="36BF150A" w:rsidR="48191A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 </w:t>
            </w:r>
            <w:r w:rsidRPr="36BF150A" w:rsidR="53FCDE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an increase in </w:t>
            </w:r>
            <w:r w:rsidRPr="36BF150A" w:rsidR="48191A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technological literacy and notes on an increase in male applicants, the response </w:t>
            </w:r>
            <w:r w:rsidRPr="36BF150A" w:rsidR="7E1EC6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does not address why these may occur or how these can be </w:t>
            </w:r>
            <w:r w:rsidRPr="36BF150A" w:rsidR="38648D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representative </w:t>
            </w:r>
            <w:r w:rsidRPr="36BF150A" w:rsidR="7E1EC6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US"/>
              </w:rPr>
              <w:t xml:space="preserve">in the future.  </w:t>
            </w:r>
          </w:p>
        </w:tc>
      </w:tr>
      <w:tr w:rsidRPr="00727B51" w:rsidR="00AC5518" w:rsidTr="36BF150A" w14:paraId="5DE035DD" w14:textId="77777777">
        <w:tc>
          <w:tcPr>
            <w:tcW w:w="3235" w:type="dxa"/>
            <w:tcMar/>
            <w:vAlign w:val="center"/>
          </w:tcPr>
          <w:p w:rsidRPr="00727B51" w:rsidR="008B6986" w:rsidP="00727B51" w:rsidRDefault="008B6986" w14:paraId="5AF933EF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4. Progra</w:t>
            </w:r>
            <w:r w:rsidRPr="00727B51" w:rsidR="00E23DB6">
              <w:rPr>
                <w:rFonts w:cstheme="minorHAnsi"/>
                <w:sz w:val="20"/>
                <w:szCs w:val="20"/>
              </w:rPr>
              <w:t>m relationship to market demand.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445A50FB" w:rsidRDefault="008F68EB" w14:paraId="757D22A8" w14:textId="38705191">
            <w:pPr>
              <w:rPr>
                <w:rFonts w:eastAsia="Times New Roman"/>
                <w:sz w:val="20"/>
                <w:szCs w:val="20"/>
              </w:rPr>
            </w:pPr>
            <w:r w:rsidRPr="36BF150A" w:rsidR="6433134A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36BF150A" w:rsidRDefault="008F68EB" w14:paraId="19A8FE5A" w14:textId="1751D7BC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6BF150A" w:rsidR="6433134A">
              <w:rPr>
                <w:rFonts w:eastAsia="Times New Roman" w:cs="Calibri" w:cstheme="minorAscii"/>
                <w:sz w:val="20"/>
                <w:szCs w:val="20"/>
              </w:rPr>
              <w:t>NA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445A50FB" w:rsidRDefault="008F68EB" w14:paraId="72A16204" w14:textId="24E339BC">
            <w:pPr>
              <w:rPr>
                <w:rFonts w:eastAsia="Times New Roman"/>
                <w:sz w:val="20"/>
                <w:szCs w:val="20"/>
              </w:rPr>
            </w:pPr>
            <w:r w:rsidRPr="36BF150A" w:rsidR="6433134A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36BF150A" w:rsidRDefault="008F68EB" w14:paraId="7838AAF4" w14:textId="07D3CFD3">
            <w:pPr>
              <w:rPr>
                <w:rFonts w:eastAsia="Times New Roman"/>
                <w:sz w:val="20"/>
                <w:szCs w:val="20"/>
              </w:rPr>
            </w:pPr>
            <w:r w:rsidRPr="36BF150A" w:rsidR="2F6A7E0E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4434" w:type="dxa"/>
            <w:tcMar/>
            <w:vAlign w:val="center"/>
          </w:tcPr>
          <w:p w:rsidRPr="00727B51" w:rsidR="00A14793" w:rsidP="445A50FB" w:rsidRDefault="1F2F45CF" w14:paraId="22754545" w14:textId="3DB9ACE1">
            <w:pPr>
              <w:rPr>
                <w:sz w:val="20"/>
                <w:szCs w:val="20"/>
              </w:rPr>
            </w:pPr>
            <w:r w:rsidRPr="36BF150A" w:rsidR="16FFA1E4">
              <w:rPr>
                <w:sz w:val="20"/>
                <w:szCs w:val="20"/>
              </w:rPr>
              <w:t xml:space="preserve">Query now addresses market demand within the </w:t>
            </w:r>
            <w:r w:rsidRPr="36BF150A" w:rsidR="16FFA1E4">
              <w:rPr>
                <w:sz w:val="20"/>
                <w:szCs w:val="20"/>
              </w:rPr>
              <w:t>metroplex but</w:t>
            </w:r>
            <w:r w:rsidRPr="36BF150A" w:rsidR="16FFA1E4">
              <w:rPr>
                <w:sz w:val="20"/>
                <w:szCs w:val="20"/>
              </w:rPr>
              <w:t xml:space="preserve"> does not </w:t>
            </w:r>
            <w:r w:rsidRPr="36BF150A" w:rsidR="5ECCD69B">
              <w:rPr>
                <w:sz w:val="20"/>
                <w:szCs w:val="20"/>
              </w:rPr>
              <w:t>address market projections for the next 5 years.</w:t>
            </w:r>
            <w:r w:rsidRPr="36BF150A" w:rsidR="00727B51">
              <w:rPr>
                <w:sz w:val="20"/>
                <w:szCs w:val="20"/>
              </w:rPr>
              <w:t xml:space="preserve"> </w:t>
            </w:r>
          </w:p>
        </w:tc>
      </w:tr>
      <w:tr w:rsidRPr="00727B51" w:rsidR="00AC5518" w:rsidTr="36BF150A" w14:paraId="56AFFA06" w14:textId="77777777">
        <w:tc>
          <w:tcPr>
            <w:tcW w:w="3235" w:type="dxa"/>
            <w:tcMar/>
            <w:vAlign w:val="center"/>
          </w:tcPr>
          <w:p w:rsidRPr="00727B51" w:rsidR="008B6986" w:rsidP="00727B51" w:rsidRDefault="008B6986" w14:paraId="7B918BA7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5.  How effective is the program’s curriculum?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36BF150A" w:rsidRDefault="008F68EB" w14:paraId="7C0E7933" w14:textId="446262B0">
            <w:pPr>
              <w:rPr>
                <w:rFonts w:eastAsia="Times New Roman"/>
                <w:sz w:val="20"/>
                <w:szCs w:val="20"/>
              </w:rPr>
            </w:pPr>
            <w:r w:rsidRPr="36BF150A" w:rsidR="5CD9CCED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36BF150A" w:rsidRDefault="008F68EB" w14:paraId="39629647" w14:textId="38214053">
            <w:pPr>
              <w:rPr>
                <w:rFonts w:eastAsia="Times New Roman" w:cs="Calibri" w:cstheme="minorAscii"/>
                <w:sz w:val="20"/>
                <w:szCs w:val="20"/>
              </w:rPr>
            </w:pPr>
            <w:r w:rsidRPr="36BF150A" w:rsidR="5CD9CCED">
              <w:rPr>
                <w:rFonts w:eastAsia="Times New Roman" w:cs="Calibri" w:cstheme="minorAscii"/>
                <w:sz w:val="20"/>
                <w:szCs w:val="20"/>
              </w:rPr>
              <w:t>NA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36BF150A" w:rsidRDefault="008F68EB" w14:paraId="099CFFC3" w14:textId="2551C66C">
            <w:pPr>
              <w:rPr>
                <w:rFonts w:eastAsia="Times New Roman"/>
                <w:sz w:val="20"/>
                <w:szCs w:val="20"/>
              </w:rPr>
            </w:pPr>
            <w:r w:rsidRPr="36BF150A" w:rsidR="5CD9CCED">
              <w:rPr>
                <w:rFonts w:eastAsia="Times New Roman"/>
                <w:sz w:val="20"/>
                <w:szCs w:val="20"/>
              </w:rPr>
              <w:t>NA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36BF150A" w:rsidRDefault="008F68EB" w14:paraId="511072AF" w14:textId="2A55C8A9">
            <w:pPr>
              <w:rPr>
                <w:rFonts w:eastAsia="Times New Roman"/>
                <w:sz w:val="20"/>
                <w:szCs w:val="20"/>
              </w:rPr>
            </w:pPr>
            <w:r w:rsidRPr="36BF150A" w:rsidR="454B502C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36BF150A" w:rsidRDefault="00727B51" w14:paraId="67E36AD7" w14:textId="7B22B4ED">
            <w:pPr>
              <w:rPr>
                <w:sz w:val="20"/>
                <w:szCs w:val="20"/>
              </w:rPr>
            </w:pPr>
            <w:r w:rsidRPr="36BF150A" w:rsidR="1D0ED8AF">
              <w:rPr>
                <w:sz w:val="20"/>
                <w:szCs w:val="20"/>
              </w:rPr>
              <w:t xml:space="preserve">Response addresses completion rates of students within the last four years. </w:t>
            </w:r>
          </w:p>
          <w:p w:rsidRPr="00727B51" w:rsidR="008B6986" w:rsidP="36BF150A" w:rsidRDefault="00727B51" w14:paraId="0133D71A" w14:textId="5B055E98">
            <w:pPr>
              <w:rPr>
                <w:sz w:val="20"/>
                <w:szCs w:val="20"/>
              </w:rPr>
            </w:pPr>
          </w:p>
          <w:p w:rsidRPr="00727B51" w:rsidR="008B6986" w:rsidP="445A50FB" w:rsidRDefault="00727B51" w14:paraId="48EE4A62" w14:textId="339B8361">
            <w:pPr>
              <w:rPr>
                <w:sz w:val="20"/>
                <w:szCs w:val="20"/>
              </w:rPr>
            </w:pPr>
            <w:r w:rsidRPr="36BF150A" w:rsidR="78128B53">
              <w:rPr>
                <w:sz w:val="20"/>
                <w:szCs w:val="20"/>
              </w:rPr>
              <w:t xml:space="preserve">Response does not include analysis of </w:t>
            </w:r>
            <w:r w:rsidRPr="36BF150A" w:rsidR="73E05776">
              <w:rPr>
                <w:sz w:val="20"/>
                <w:szCs w:val="20"/>
              </w:rPr>
              <w:t>course</w:t>
            </w:r>
            <w:r w:rsidRPr="36BF150A" w:rsidR="78128B53">
              <w:rPr>
                <w:sz w:val="20"/>
                <w:szCs w:val="20"/>
              </w:rPr>
              <w:t xml:space="preserve"> success rates</w:t>
            </w:r>
            <w:r w:rsidRPr="36BF150A" w:rsidR="31E4FD8B">
              <w:rPr>
                <w:sz w:val="20"/>
                <w:szCs w:val="20"/>
              </w:rPr>
              <w:t xml:space="preserve"> for each course. Their overall success rates are reviewed in section E. </w:t>
            </w:r>
          </w:p>
        </w:tc>
      </w:tr>
      <w:tr w:rsidRPr="00727B51" w:rsidR="00AC5518" w:rsidTr="36BF150A" w14:paraId="65316181" w14:textId="77777777">
        <w:tc>
          <w:tcPr>
            <w:tcW w:w="3235" w:type="dxa"/>
            <w:tcMar/>
            <w:vAlign w:val="center"/>
          </w:tcPr>
          <w:p w:rsidRPr="00727B51" w:rsidR="008B6986" w:rsidP="00727B51" w:rsidRDefault="008B6986" w14:paraId="7BB1EB31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 xml:space="preserve">6. </w:t>
            </w:r>
            <w:r w:rsidRPr="00727B51" w:rsidR="0083136D">
              <w:rPr>
                <w:rFonts w:cstheme="minorHAnsi"/>
                <w:sz w:val="20"/>
                <w:szCs w:val="20"/>
              </w:rPr>
              <w:t xml:space="preserve"> How well does program communicate?</w:t>
            </w:r>
          </w:p>
        </w:tc>
        <w:tc>
          <w:tcPr>
            <w:tcW w:w="1710" w:type="dxa"/>
            <w:shd w:val="clear" w:color="auto" w:fill="auto"/>
            <w:tcMar/>
            <w:vAlign w:val="center"/>
          </w:tcPr>
          <w:p w:rsidRPr="00727B51" w:rsidR="008B6986" w:rsidP="36BF150A" w:rsidRDefault="008F68EB" w14:paraId="19C9652B" w14:textId="14C7002C">
            <w:pPr>
              <w:rPr>
                <w:rFonts w:eastAsia="Times New Roman"/>
                <w:sz w:val="20"/>
                <w:szCs w:val="20"/>
              </w:rPr>
            </w:pPr>
            <w:r w:rsidRPr="36BF150A" w:rsidR="08B2635E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620" w:type="dxa"/>
            <w:shd w:val="clear" w:color="auto" w:fill="auto"/>
            <w:tcMar/>
            <w:vAlign w:val="center"/>
          </w:tcPr>
          <w:p w:rsidRPr="00727B51" w:rsidR="008B6986" w:rsidP="36BF150A" w:rsidRDefault="008F68EB" w14:paraId="3F2BA209" w14:textId="3CC58A43">
            <w:pPr>
              <w:rPr>
                <w:rFonts w:eastAsia="Times New Roman"/>
                <w:sz w:val="20"/>
                <w:szCs w:val="20"/>
              </w:rPr>
            </w:pPr>
            <w:r w:rsidRPr="36BF150A" w:rsidR="08B2635E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890" w:type="dxa"/>
            <w:shd w:val="clear" w:color="auto" w:fill="auto"/>
            <w:tcMar/>
            <w:vAlign w:val="center"/>
          </w:tcPr>
          <w:p w:rsidRPr="00727B51" w:rsidR="008B6986" w:rsidP="36BF150A" w:rsidRDefault="008F68EB" w14:paraId="16BB8AA5" w14:textId="48291792">
            <w:pPr>
              <w:rPr>
                <w:rFonts w:eastAsia="Times New Roman"/>
                <w:sz w:val="20"/>
                <w:szCs w:val="20"/>
              </w:rPr>
            </w:pPr>
            <w:r w:rsidRPr="36BF150A" w:rsidR="08B2635E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501" w:type="dxa"/>
            <w:shd w:val="clear" w:color="auto" w:fill="auto"/>
            <w:tcMar/>
            <w:vAlign w:val="center"/>
          </w:tcPr>
          <w:p w:rsidRPr="00727B51" w:rsidR="008B6986" w:rsidP="36BF150A" w:rsidRDefault="008F68EB" w14:paraId="33F0FE38" w14:textId="7AB2D55B">
            <w:pPr>
              <w:rPr>
                <w:rFonts w:eastAsia="Times New Roman"/>
                <w:sz w:val="20"/>
                <w:szCs w:val="20"/>
              </w:rPr>
            </w:pPr>
            <w:r w:rsidRPr="36BF150A" w:rsidR="55C8F99A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4434" w:type="dxa"/>
            <w:shd w:val="clear" w:color="auto" w:fill="auto"/>
            <w:tcMar/>
            <w:vAlign w:val="center"/>
          </w:tcPr>
          <w:p w:rsidRPr="00727B51" w:rsidR="008B6986" w:rsidP="36BF150A" w:rsidRDefault="1C29D408" w14:paraId="6795EC43" w14:textId="745DA25A">
            <w:pPr>
              <w:spacing w:after="200" w:line="276" w:lineRule="auto"/>
              <w:rPr>
                <w:sz w:val="20"/>
                <w:szCs w:val="20"/>
              </w:rPr>
            </w:pPr>
            <w:r w:rsidRPr="36BF150A" w:rsidR="1C29D408">
              <w:rPr>
                <w:sz w:val="20"/>
                <w:szCs w:val="20"/>
              </w:rPr>
              <w:t xml:space="preserve">Response </w:t>
            </w:r>
            <w:r w:rsidRPr="36BF150A" w:rsidR="1B83AA17">
              <w:rPr>
                <w:sz w:val="20"/>
                <w:szCs w:val="20"/>
              </w:rPr>
              <w:t xml:space="preserve">still </w:t>
            </w:r>
            <w:r w:rsidRPr="36BF150A" w:rsidR="1C29D408">
              <w:rPr>
                <w:sz w:val="20"/>
                <w:szCs w:val="20"/>
              </w:rPr>
              <w:t>does not include discussion or plan to address student feedback or surveys</w:t>
            </w:r>
            <w:r w:rsidRPr="36BF150A" w:rsidR="72965207">
              <w:rPr>
                <w:sz w:val="20"/>
                <w:szCs w:val="20"/>
              </w:rPr>
              <w:t xml:space="preserve"> in section 6a</w:t>
            </w:r>
            <w:r w:rsidRPr="36BF150A" w:rsidR="1C29D408">
              <w:rPr>
                <w:sz w:val="20"/>
                <w:szCs w:val="20"/>
              </w:rPr>
              <w:t>.</w:t>
            </w:r>
          </w:p>
        </w:tc>
      </w:tr>
      <w:tr w:rsidRPr="00727B51" w:rsidR="00AC5518" w:rsidTr="36BF150A" w14:paraId="402FB86D" w14:textId="77777777">
        <w:tc>
          <w:tcPr>
            <w:tcW w:w="3235" w:type="dxa"/>
            <w:tcMar/>
            <w:vAlign w:val="center"/>
          </w:tcPr>
          <w:p w:rsidRPr="00727B51" w:rsidR="008B6986" w:rsidP="00727B51" w:rsidRDefault="0083136D" w14:paraId="6D0F0A25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7</w:t>
            </w:r>
            <w:r w:rsidRPr="00727B51" w:rsidR="008B6986">
              <w:rPr>
                <w:rFonts w:cstheme="minorHAnsi"/>
                <w:sz w:val="20"/>
                <w:szCs w:val="20"/>
              </w:rPr>
              <w:t>. How well are partnership resources built &amp; leveraged?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36BF150A" w:rsidRDefault="0663E4A7" w14:paraId="72A3D3EC" w14:textId="1E2FA8C2">
            <w:pPr>
              <w:rPr>
                <w:rFonts w:eastAsia="Times New Roman"/>
                <w:sz w:val="20"/>
                <w:szCs w:val="20"/>
              </w:rPr>
            </w:pPr>
            <w:r w:rsidRPr="36BF150A" w:rsidR="4E3122F1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36BF150A" w:rsidRDefault="0663E4A7" w14:paraId="0D0B940D" w14:textId="4F288435">
            <w:pPr>
              <w:rPr>
                <w:rFonts w:eastAsia="Times New Roman"/>
                <w:sz w:val="20"/>
                <w:szCs w:val="20"/>
              </w:rPr>
            </w:pPr>
            <w:r w:rsidRPr="36BF150A" w:rsidR="4E3122F1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36BF150A" w:rsidRDefault="0663E4A7" w14:paraId="0E27B00A" w14:textId="0BA8DE19">
            <w:pPr>
              <w:rPr>
                <w:rFonts w:eastAsia="Times New Roman"/>
                <w:sz w:val="20"/>
                <w:szCs w:val="20"/>
              </w:rPr>
            </w:pPr>
            <w:r w:rsidRPr="36BF150A" w:rsidR="4E3122F1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36BF150A" w:rsidRDefault="0663E4A7" w14:paraId="60061E4C" w14:textId="37B65164">
            <w:pPr>
              <w:rPr>
                <w:rFonts w:eastAsia="Times New Roman"/>
                <w:sz w:val="20"/>
                <w:szCs w:val="20"/>
              </w:rPr>
            </w:pPr>
            <w:r w:rsidRPr="36BF150A" w:rsidR="4AA9C458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445A50FB" w:rsidRDefault="4A89884A" w14:paraId="44EAFD9C" w14:textId="7A29E0E2">
            <w:pPr>
              <w:rPr>
                <w:sz w:val="20"/>
                <w:szCs w:val="20"/>
              </w:rPr>
            </w:pPr>
            <w:r w:rsidRPr="445A50FB">
              <w:rPr>
                <w:sz w:val="20"/>
                <w:szCs w:val="20"/>
              </w:rPr>
              <w:t>No comment – effectively addresses the program query</w:t>
            </w:r>
          </w:p>
        </w:tc>
      </w:tr>
      <w:tr w:rsidRPr="00727B51" w:rsidR="00AC5518" w:rsidTr="36BF150A" w14:paraId="0BBF4703" w14:textId="77777777">
        <w:tc>
          <w:tcPr>
            <w:tcW w:w="3235" w:type="dxa"/>
            <w:tcMar/>
            <w:vAlign w:val="center"/>
          </w:tcPr>
          <w:p w:rsidRPr="00727B51" w:rsidR="008B6986" w:rsidP="00727B51" w:rsidRDefault="0083136D" w14:paraId="30E71078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8</w:t>
            </w:r>
            <w:r w:rsidRPr="00727B51" w:rsidR="00F020C9">
              <w:rPr>
                <w:rFonts w:cstheme="minorHAnsi"/>
                <w:sz w:val="20"/>
                <w:szCs w:val="20"/>
              </w:rPr>
              <w:t xml:space="preserve">. Are the faculty </w:t>
            </w:r>
            <w:r w:rsidRPr="00727B51" w:rsidR="008B6986">
              <w:rPr>
                <w:rFonts w:cstheme="minorHAnsi"/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36BF150A" w:rsidRDefault="01E9F8E7" w14:paraId="4B94D5A5" w14:textId="6DA887D3">
            <w:pPr>
              <w:rPr>
                <w:rFonts w:eastAsia="Times New Roman"/>
                <w:sz w:val="20"/>
                <w:szCs w:val="20"/>
              </w:rPr>
            </w:pPr>
            <w:r w:rsidRPr="36BF150A" w:rsidR="11FF76E1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36BF150A" w:rsidRDefault="01E9F8E7" w14:paraId="3DEEC669" w14:textId="10A42CC5">
            <w:pPr>
              <w:rPr>
                <w:rFonts w:eastAsia="Times New Roman"/>
                <w:sz w:val="20"/>
                <w:szCs w:val="20"/>
              </w:rPr>
            </w:pPr>
            <w:r w:rsidRPr="36BF150A" w:rsidR="11FF76E1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36BF150A" w:rsidRDefault="01E9F8E7" w14:paraId="3656B9AB" w14:textId="616C137B">
            <w:pPr>
              <w:rPr>
                <w:rFonts w:eastAsia="Times New Roman"/>
                <w:sz w:val="20"/>
                <w:szCs w:val="20"/>
              </w:rPr>
            </w:pPr>
            <w:r w:rsidRPr="36BF150A" w:rsidR="11FF76E1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36BF150A" w:rsidRDefault="01E9F8E7" w14:paraId="45FB0818" w14:textId="4C7C85E7">
            <w:pPr>
              <w:rPr>
                <w:rFonts w:eastAsia="Times New Roman"/>
                <w:sz w:val="20"/>
                <w:szCs w:val="20"/>
              </w:rPr>
            </w:pPr>
            <w:r w:rsidRPr="36BF150A" w:rsidR="0FACAB9B">
              <w:rPr>
                <w:rFonts w:eastAsia="Times New Roman"/>
                <w:sz w:val="20"/>
                <w:szCs w:val="20"/>
              </w:rPr>
              <w:t>AWOR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445A50FB" w:rsidRDefault="12BF7780" w14:paraId="049F31CB" w14:textId="5A2BADC1">
            <w:pPr>
              <w:rPr>
                <w:sz w:val="20"/>
                <w:szCs w:val="20"/>
              </w:rPr>
            </w:pPr>
            <w:r w:rsidRPr="445A50FB">
              <w:rPr>
                <w:sz w:val="20"/>
                <w:szCs w:val="20"/>
              </w:rPr>
              <w:t>No comment – effectively addresses the program query</w:t>
            </w:r>
          </w:p>
        </w:tc>
      </w:tr>
      <w:tr w:rsidRPr="00727B51" w:rsidR="00AC5518" w:rsidTr="36BF150A" w14:paraId="2C3C5927" w14:textId="77777777">
        <w:tc>
          <w:tcPr>
            <w:tcW w:w="3235" w:type="dxa"/>
            <w:tcMar/>
            <w:vAlign w:val="center"/>
          </w:tcPr>
          <w:p w:rsidRPr="00727B51" w:rsidR="008B6986" w:rsidP="00727B51" w:rsidRDefault="0083136D" w14:paraId="5C1AFB94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9</w:t>
            </w:r>
            <w:r w:rsidRPr="00727B51" w:rsidR="008B6986">
              <w:rPr>
                <w:rFonts w:cstheme="minorHAnsi"/>
                <w:sz w:val="20"/>
                <w:szCs w:val="20"/>
              </w:rPr>
              <w:t xml:space="preserve">. </w:t>
            </w:r>
            <w:r w:rsidRPr="00727B51" w:rsidR="00F020C9">
              <w:rPr>
                <w:rFonts w:cstheme="minorHAnsi"/>
                <w:sz w:val="20"/>
                <w:szCs w:val="20"/>
              </w:rPr>
              <w:t xml:space="preserve">[Optional] </w:t>
            </w:r>
            <w:r w:rsidRPr="00727B51" w:rsidR="008B6986">
              <w:rPr>
                <w:rFonts w:cstheme="minorHAnsi"/>
                <w:sz w:val="20"/>
                <w:szCs w:val="20"/>
              </w:rPr>
              <w:t>Does the program have</w:t>
            </w:r>
            <w:r w:rsidRPr="00727B51" w:rsidR="00DC0417">
              <w:rPr>
                <w:rFonts w:cstheme="minorHAnsi"/>
                <w:sz w:val="20"/>
                <w:szCs w:val="20"/>
              </w:rPr>
              <w:t xml:space="preserve"> adequate facilities, equipment</w:t>
            </w:r>
            <w:r w:rsidRPr="00727B51" w:rsidR="008B6986">
              <w:rPr>
                <w:rFonts w:cstheme="minorHAnsi"/>
                <w:sz w:val="20"/>
                <w:szCs w:val="20"/>
              </w:rPr>
              <w:t xml:space="preserve">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53128261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62486C05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4101652C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4B99056E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FFFFFF" w:themeFill="background1"/>
            <w:tcMar/>
            <w:vAlign w:val="center"/>
          </w:tcPr>
          <w:p w:rsidRPr="00727B51" w:rsidR="008B6986" w:rsidP="445A50FB" w:rsidRDefault="5EBA0CDE" w14:paraId="1299C43A" w14:noSpellErr="1" w14:textId="77B27A1F">
            <w:pPr>
              <w:rPr>
                <w:color w:val="4A442A" w:themeColor="background2" w:themeShade="40"/>
                <w:sz w:val="20"/>
                <w:szCs w:val="20"/>
              </w:rPr>
            </w:pPr>
          </w:p>
        </w:tc>
      </w:tr>
      <w:tr w:rsidRPr="00727B51" w:rsidR="00DC0417" w:rsidTr="36BF150A" w14:paraId="680F6D29" w14:textId="77777777">
        <w:tc>
          <w:tcPr>
            <w:tcW w:w="3235" w:type="dxa"/>
            <w:tcMar/>
            <w:vAlign w:val="center"/>
          </w:tcPr>
          <w:p w:rsidRPr="00727B51" w:rsidR="00DC0417" w:rsidP="00727B51" w:rsidRDefault="00662651" w14:paraId="53182DE6" w14:textId="77777777">
            <w:pPr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 xml:space="preserve">10. How have past </w:t>
            </w:r>
            <w:r w:rsidRPr="00727B51" w:rsidR="00577F53">
              <w:rPr>
                <w:rFonts w:cstheme="minorHAnsi"/>
                <w:sz w:val="20"/>
                <w:szCs w:val="20"/>
              </w:rPr>
              <w:t>CIPs</w:t>
            </w:r>
            <w:r w:rsidRPr="00727B51">
              <w:rPr>
                <w:rFonts w:cstheme="minorHAnsi"/>
                <w:sz w:val="20"/>
                <w:szCs w:val="20"/>
              </w:rPr>
              <w:t xml:space="preserve"> contributed to success?</w:t>
            </w:r>
          </w:p>
        </w:tc>
        <w:tc>
          <w:tcPr>
            <w:tcW w:w="1710" w:type="dxa"/>
            <w:tcMar/>
            <w:vAlign w:val="center"/>
          </w:tcPr>
          <w:p w:rsidRPr="00727B51" w:rsidR="00DC0417" w:rsidP="2A2AB0A7" w:rsidRDefault="29A7ECB6" w14:paraId="4DDBEF00" w14:textId="741D9402">
            <w:pPr>
              <w:rPr>
                <w:rFonts w:eastAsia="Times New Roman"/>
                <w:sz w:val="20"/>
                <w:szCs w:val="20"/>
              </w:rPr>
            </w:pPr>
            <w:r w:rsidRPr="36BF150A" w:rsidR="30187961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620" w:type="dxa"/>
            <w:tcMar/>
            <w:vAlign w:val="center"/>
          </w:tcPr>
          <w:p w:rsidRPr="00727B51" w:rsidR="00DC0417" w:rsidP="502C0D29" w:rsidRDefault="29A7ECB6" w14:paraId="3461D779" w14:textId="26BCC600">
            <w:pPr>
              <w:rPr>
                <w:rFonts w:eastAsia="Times New Roman"/>
                <w:sz w:val="20"/>
                <w:szCs w:val="20"/>
              </w:rPr>
            </w:pPr>
            <w:r w:rsidRPr="36BF150A" w:rsidR="30187961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890" w:type="dxa"/>
            <w:tcMar/>
            <w:vAlign w:val="center"/>
          </w:tcPr>
          <w:p w:rsidRPr="00727B51" w:rsidR="00DC0417" w:rsidP="502C0D29" w:rsidRDefault="29A7ECB6" w14:paraId="3CF2D8B6" w14:textId="5A17AEF1">
            <w:pPr>
              <w:rPr>
                <w:rFonts w:eastAsia="Times New Roman"/>
                <w:sz w:val="20"/>
                <w:szCs w:val="20"/>
              </w:rPr>
            </w:pPr>
            <w:r w:rsidRPr="36BF150A" w:rsidR="30187961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1501" w:type="dxa"/>
            <w:tcMar/>
            <w:vAlign w:val="center"/>
          </w:tcPr>
          <w:p w:rsidRPr="00727B51" w:rsidR="00DC0417" w:rsidP="36BF150A" w:rsidRDefault="29A7ECB6" w14:paraId="0FB78278" w14:textId="1452DB6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/>
                <w:sz w:val="20"/>
                <w:szCs w:val="20"/>
              </w:rPr>
            </w:pPr>
            <w:r w:rsidRPr="36BF150A" w:rsidR="30187961">
              <w:rPr>
                <w:rFonts w:eastAsia="Times New Roman"/>
                <w:sz w:val="20"/>
                <w:szCs w:val="20"/>
              </w:rPr>
              <w:t>AWR</w:t>
            </w:r>
          </w:p>
        </w:tc>
        <w:tc>
          <w:tcPr>
            <w:tcW w:w="4434" w:type="dxa"/>
            <w:tcMar/>
            <w:vAlign w:val="center"/>
          </w:tcPr>
          <w:p w:rsidRPr="00727B51" w:rsidR="00DC0417" w:rsidP="2A2AB0A7" w:rsidRDefault="5528F739" w14:paraId="1FC39945" w14:textId="10105DA1">
            <w:pPr>
              <w:rPr>
                <w:sz w:val="20"/>
                <w:szCs w:val="20"/>
              </w:rPr>
            </w:pPr>
            <w:r w:rsidRPr="36BF150A" w:rsidR="55D658EB">
              <w:rPr>
                <w:sz w:val="20"/>
                <w:szCs w:val="20"/>
              </w:rPr>
              <w:t>T</w:t>
            </w:r>
            <w:r w:rsidRPr="36BF150A" w:rsidR="332ADFF8">
              <w:rPr>
                <w:sz w:val="20"/>
                <w:szCs w:val="20"/>
              </w:rPr>
              <w:t xml:space="preserve">he response now addresses comparative standards among other competitive dental hygiene programs in the state. </w:t>
            </w:r>
          </w:p>
        </w:tc>
      </w:tr>
      <w:tr w:rsidRPr="00727B51" w:rsidR="00AC5518" w:rsidTr="36BF150A" w14:paraId="0706B336" w14:textId="77777777">
        <w:tc>
          <w:tcPr>
            <w:tcW w:w="3235" w:type="dxa"/>
            <w:tcMar/>
            <w:vAlign w:val="center"/>
          </w:tcPr>
          <w:p w:rsidRPr="00727B51" w:rsidR="008B6986" w:rsidP="502C0D29" w:rsidRDefault="008B6986" w14:paraId="7AB0A702" w14:textId="6DBF9FAF">
            <w:pPr>
              <w:rPr>
                <w:sz w:val="20"/>
                <w:szCs w:val="20"/>
              </w:rPr>
            </w:pPr>
            <w:r w:rsidRPr="502C0D29">
              <w:rPr>
                <w:sz w:val="20"/>
                <w:szCs w:val="20"/>
              </w:rPr>
              <w:t>1</w:t>
            </w:r>
            <w:r w:rsidRPr="502C0D29" w:rsidR="00DC0417">
              <w:rPr>
                <w:sz w:val="20"/>
                <w:szCs w:val="20"/>
              </w:rPr>
              <w:t>1</w:t>
            </w:r>
            <w:r w:rsidRPr="502C0D29">
              <w:rPr>
                <w:sz w:val="20"/>
                <w:szCs w:val="20"/>
              </w:rPr>
              <w:t xml:space="preserve">. </w:t>
            </w:r>
            <w:r w:rsidRPr="502C0D29" w:rsidR="00B65CEF">
              <w:rPr>
                <w:sz w:val="20"/>
                <w:szCs w:val="20"/>
              </w:rPr>
              <w:t xml:space="preserve">How will </w:t>
            </w:r>
            <w:r w:rsidRPr="502C0D29" w:rsidR="4C2CC725">
              <w:rPr>
                <w:sz w:val="20"/>
                <w:szCs w:val="20"/>
              </w:rPr>
              <w:t xml:space="preserve">the </w:t>
            </w:r>
            <w:r w:rsidRPr="502C0D29" w:rsidR="00B65CEF">
              <w:rPr>
                <w:sz w:val="20"/>
                <w:szCs w:val="20"/>
              </w:rPr>
              <w:t>program evaluate its success</w:t>
            </w:r>
            <w:r w:rsidRPr="502C0D29">
              <w:rPr>
                <w:sz w:val="20"/>
                <w:szCs w:val="20"/>
              </w:rPr>
              <w:t>?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445A50FB" w:rsidRDefault="1ABD167E" w14:paraId="0562CB0E" w14:textId="312A30E6">
            <w:pPr>
              <w:rPr>
                <w:sz w:val="20"/>
                <w:szCs w:val="20"/>
              </w:rPr>
            </w:pPr>
            <w:r w:rsidRPr="36BF150A" w:rsidR="6D415426">
              <w:rPr>
                <w:sz w:val="20"/>
                <w:szCs w:val="20"/>
              </w:rPr>
              <w:t>AWRC</w:t>
            </w:r>
          </w:p>
        </w:tc>
        <w:tc>
          <w:tcPr>
            <w:tcW w:w="1620" w:type="dxa"/>
            <w:tcMar/>
            <w:vAlign w:val="center"/>
          </w:tcPr>
          <w:p w:rsidRPr="00727B51" w:rsidR="008B6986" w:rsidP="445A50FB" w:rsidRDefault="1ABD167E" w14:paraId="34CE0A41" w14:textId="64B7D4E7">
            <w:pPr>
              <w:rPr>
                <w:sz w:val="20"/>
                <w:szCs w:val="20"/>
              </w:rPr>
            </w:pPr>
            <w:r w:rsidRPr="36BF150A" w:rsidR="6D415426">
              <w:rPr>
                <w:sz w:val="20"/>
                <w:szCs w:val="20"/>
              </w:rPr>
              <w:t>AWR</w:t>
            </w:r>
          </w:p>
        </w:tc>
        <w:tc>
          <w:tcPr>
            <w:tcW w:w="1890" w:type="dxa"/>
            <w:tcMar/>
            <w:vAlign w:val="center"/>
          </w:tcPr>
          <w:p w:rsidRPr="00727B51" w:rsidR="008B6986" w:rsidP="445A50FB" w:rsidRDefault="1ABD167E" w14:paraId="62EBF3C5" w14:textId="5725F199">
            <w:pPr>
              <w:rPr>
                <w:sz w:val="20"/>
                <w:szCs w:val="20"/>
              </w:rPr>
            </w:pPr>
            <w:r w:rsidRPr="36BF150A" w:rsidR="6D415426">
              <w:rPr>
                <w:sz w:val="20"/>
                <w:szCs w:val="20"/>
              </w:rPr>
              <w:t>AWR</w:t>
            </w:r>
          </w:p>
        </w:tc>
        <w:tc>
          <w:tcPr>
            <w:tcW w:w="1501" w:type="dxa"/>
            <w:tcMar/>
            <w:vAlign w:val="center"/>
          </w:tcPr>
          <w:p w:rsidRPr="00727B51" w:rsidR="008B6986" w:rsidP="445A50FB" w:rsidRDefault="208B0756" w14:paraId="6D98A12B" w14:textId="58B4DC44">
            <w:pPr>
              <w:rPr>
                <w:sz w:val="20"/>
                <w:szCs w:val="20"/>
              </w:rPr>
            </w:pPr>
            <w:r w:rsidRPr="36BF150A" w:rsidR="296D3784">
              <w:rPr>
                <w:sz w:val="20"/>
                <w:szCs w:val="20"/>
              </w:rPr>
              <w:t>AWRC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445A50FB" w:rsidRDefault="36646B73" w14:paraId="2946DB82" w14:textId="0274A6E2">
            <w:pPr>
              <w:rPr>
                <w:sz w:val="20"/>
                <w:szCs w:val="20"/>
              </w:rPr>
            </w:pPr>
            <w:r w:rsidRPr="36BF150A" w:rsidR="1B2D43E8">
              <w:rPr>
                <w:sz w:val="20"/>
                <w:szCs w:val="20"/>
              </w:rPr>
              <w:t xml:space="preserve">Response includes discussion of “assessing the explorer competency and the </w:t>
            </w:r>
            <w:r w:rsidRPr="36BF150A" w:rsidR="7E08A531">
              <w:rPr>
                <w:sz w:val="20"/>
                <w:szCs w:val="20"/>
              </w:rPr>
              <w:t>proficiency</w:t>
            </w:r>
            <w:r w:rsidRPr="36BF150A" w:rsidR="1B2D43E8">
              <w:rPr>
                <w:sz w:val="20"/>
                <w:szCs w:val="20"/>
              </w:rPr>
              <w:t xml:space="preserve"> of students with explorer instrumentation” as being a weakness within the program. </w:t>
            </w:r>
            <w:r w:rsidRPr="36BF150A" w:rsidR="05BD212D">
              <w:rPr>
                <w:sz w:val="20"/>
                <w:szCs w:val="20"/>
              </w:rPr>
              <w:t>T</w:t>
            </w:r>
            <w:r w:rsidRPr="36BF150A" w:rsidR="1B2D43E8">
              <w:rPr>
                <w:sz w:val="20"/>
                <w:szCs w:val="20"/>
              </w:rPr>
              <w:t xml:space="preserve">his concern was not address in </w:t>
            </w:r>
            <w:r w:rsidRPr="36BF150A" w:rsidR="79C1F8CB">
              <w:rPr>
                <w:sz w:val="20"/>
                <w:szCs w:val="20"/>
              </w:rPr>
              <w:t xml:space="preserve">the </w:t>
            </w:r>
            <w:r w:rsidRPr="36BF150A" w:rsidR="79C1F8CB">
              <w:rPr>
                <w:sz w:val="20"/>
                <w:szCs w:val="20"/>
              </w:rPr>
              <w:t>previous</w:t>
            </w:r>
            <w:r w:rsidRPr="36BF150A" w:rsidR="1B2D43E8">
              <w:rPr>
                <w:sz w:val="20"/>
                <w:szCs w:val="20"/>
              </w:rPr>
              <w:t xml:space="preserve"> prompt</w:t>
            </w:r>
            <w:r w:rsidRPr="36BF150A" w:rsidR="74E63F2A">
              <w:rPr>
                <w:sz w:val="20"/>
                <w:szCs w:val="20"/>
              </w:rPr>
              <w:t>s</w:t>
            </w:r>
            <w:r w:rsidRPr="36BF150A" w:rsidR="1B2D43E8">
              <w:rPr>
                <w:sz w:val="20"/>
                <w:szCs w:val="20"/>
              </w:rPr>
              <w:t xml:space="preserve"> within the program </w:t>
            </w:r>
            <w:r w:rsidRPr="36BF150A" w:rsidR="4250DD37">
              <w:rPr>
                <w:sz w:val="20"/>
                <w:szCs w:val="20"/>
              </w:rPr>
              <w:t xml:space="preserve">review. </w:t>
            </w:r>
            <w:r w:rsidRPr="36BF150A" w:rsidR="186A0176">
              <w:rPr>
                <w:sz w:val="20"/>
                <w:szCs w:val="20"/>
              </w:rPr>
              <w:t xml:space="preserve">Despite this, the review includes an explanation of how this issue will be remediated. </w:t>
            </w:r>
            <w:r w:rsidRPr="36BF150A" w:rsidR="36646B73">
              <w:rPr>
                <w:sz w:val="20"/>
                <w:szCs w:val="20"/>
              </w:rPr>
              <w:t xml:space="preserve"> </w:t>
            </w:r>
          </w:p>
        </w:tc>
      </w:tr>
      <w:tr w:rsidRPr="00727B51" w:rsidR="00AC5518" w:rsidTr="36BF150A" w14:paraId="136690AA" w14:textId="77777777">
        <w:trPr>
          <w:trHeight w:val="680"/>
        </w:trPr>
        <w:tc>
          <w:tcPr>
            <w:tcW w:w="3235" w:type="dxa"/>
            <w:tcMar/>
            <w:vAlign w:val="center"/>
          </w:tcPr>
          <w:p w:rsidRPr="00727B51" w:rsidR="008B6986" w:rsidP="00727B51" w:rsidRDefault="008B6986" w14:paraId="101F3537" w14:textId="77777777">
            <w:pPr>
              <w:ind w:left="-30"/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cstheme="minorHAnsi"/>
                <w:sz w:val="20"/>
                <w:szCs w:val="20"/>
              </w:rPr>
              <w:t>1</w:t>
            </w:r>
            <w:r w:rsidRPr="00727B51" w:rsidR="00DC0417">
              <w:rPr>
                <w:rFonts w:cstheme="minorHAnsi"/>
                <w:sz w:val="20"/>
                <w:szCs w:val="20"/>
              </w:rPr>
              <w:t>2</w:t>
            </w:r>
            <w:r w:rsidRPr="00727B51">
              <w:rPr>
                <w:rFonts w:cstheme="minorHAnsi"/>
                <w:sz w:val="20"/>
                <w:szCs w:val="20"/>
              </w:rPr>
              <w:t xml:space="preserve">. </w:t>
            </w:r>
            <w:r w:rsidRPr="00727B51" w:rsidR="00B65CEF">
              <w:rPr>
                <w:rFonts w:cstheme="minorHAnsi"/>
                <w:sz w:val="20"/>
                <w:szCs w:val="20"/>
              </w:rPr>
              <w:t>Future Continuous Improvement Plan (CIP)</w:t>
            </w:r>
          </w:p>
        </w:tc>
        <w:tc>
          <w:tcPr>
            <w:tcW w:w="1710" w:type="dxa"/>
            <w:tcMar/>
            <w:vAlign w:val="center"/>
          </w:tcPr>
          <w:p w:rsidRPr="00727B51" w:rsidR="008B6986" w:rsidP="445A50FB" w:rsidRDefault="057E0CB5" w14:paraId="5997CC1D" w14:textId="4CB26BF2">
            <w:pPr>
              <w:rPr>
                <w:sz w:val="20"/>
                <w:szCs w:val="20"/>
              </w:rPr>
            </w:pPr>
            <w:r w:rsidRPr="36BF150A" w:rsidR="56048E61">
              <w:rPr>
                <w:sz w:val="20"/>
                <w:szCs w:val="20"/>
              </w:rPr>
              <w:t>AWR</w:t>
            </w:r>
          </w:p>
        </w:tc>
        <w:tc>
          <w:tcPr>
            <w:tcW w:w="1620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110FFD37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  <w:tcMar/>
            <w:vAlign w:val="center"/>
          </w:tcPr>
          <w:p w:rsidRPr="00727B51" w:rsidR="008B6986" w:rsidP="00727B51" w:rsidRDefault="008B6986" w14:paraId="6B699379" w14:textId="77777777">
            <w:pPr>
              <w:rPr>
                <w:rFonts w:cstheme="minorHAnsi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Mar/>
            <w:vAlign w:val="center"/>
          </w:tcPr>
          <w:p w:rsidRPr="00727B51" w:rsidR="008B6986" w:rsidP="445A50FB" w:rsidRDefault="057E0CB5" w14:paraId="3FE9F23F" w14:textId="4D7A6640">
            <w:pPr>
              <w:rPr>
                <w:sz w:val="20"/>
                <w:szCs w:val="20"/>
              </w:rPr>
            </w:pPr>
            <w:r w:rsidRPr="36BF150A" w:rsidR="56048E61">
              <w:rPr>
                <w:sz w:val="20"/>
                <w:szCs w:val="20"/>
              </w:rPr>
              <w:t>AWR</w:t>
            </w:r>
          </w:p>
        </w:tc>
        <w:tc>
          <w:tcPr>
            <w:tcW w:w="4434" w:type="dxa"/>
            <w:tcMar/>
            <w:vAlign w:val="center"/>
          </w:tcPr>
          <w:p w:rsidRPr="00727B51" w:rsidR="008B6986" w:rsidP="445A50FB" w:rsidRDefault="588784A7" w14:paraId="1F72F646" w14:textId="0362E9AC">
            <w:pPr>
              <w:rPr>
                <w:sz w:val="20"/>
                <w:szCs w:val="20"/>
              </w:rPr>
            </w:pPr>
            <w:r w:rsidRPr="36BF150A" w:rsidR="56048E61">
              <w:rPr>
                <w:sz w:val="20"/>
                <w:szCs w:val="20"/>
              </w:rPr>
              <w:t>Response has included measurements</w:t>
            </w:r>
            <w:r w:rsidRPr="36BF150A" w:rsidR="56048E61">
              <w:rPr>
                <w:sz w:val="20"/>
                <w:szCs w:val="20"/>
              </w:rPr>
              <w:t xml:space="preserve"> </w:t>
            </w:r>
            <w:r w:rsidRPr="36BF150A" w:rsidR="56048E61">
              <w:rPr>
                <w:sz w:val="20"/>
                <w:szCs w:val="20"/>
              </w:rPr>
              <w:t xml:space="preserve">for intended outcomes. </w:t>
            </w:r>
          </w:p>
        </w:tc>
      </w:tr>
    </w:tbl>
    <w:p w:rsidRPr="00727B51" w:rsidR="00823434" w:rsidP="36BF150A" w:rsidRDefault="00823434" w14:paraId="08CE6F91" w14:textId="517E5075">
      <w:pPr>
        <w:ind w:firstLine="720"/>
        <w:rPr>
          <w:rFonts w:cs="Calibri" w:cstheme="minorAscii"/>
          <w:sz w:val="20"/>
          <w:szCs w:val="20"/>
        </w:rPr>
      </w:pPr>
      <w:r w:rsidRPr="36BF150A" w:rsidR="70F8656D">
        <w:rPr>
          <w:rFonts w:cs="Calibri" w:cstheme="minorAscii"/>
          <w:sz w:val="20"/>
          <w:szCs w:val="20"/>
        </w:rPr>
        <w:t>,</w:t>
      </w:r>
    </w:p>
    <w:p w:rsidR="502C0D29" w:rsidRDefault="502C0D29" w14:paraId="4DB780A8" w14:textId="13CE4ACC">
      <w:r>
        <w:br w:type="page"/>
      </w:r>
    </w:p>
    <w:p w:rsidRPr="00727B51" w:rsidR="00101233" w:rsidP="2A2AB0A7" w:rsidRDefault="00101233" w14:paraId="4B000850" w14:textId="1D5DDCB7">
      <w:pPr>
        <w:rPr>
          <w:rFonts w:eastAsia="Calibri"/>
          <w:b w:val="1"/>
          <w:bCs w:val="1"/>
          <w:sz w:val="20"/>
          <w:szCs w:val="20"/>
        </w:rPr>
      </w:pPr>
      <w:r w:rsidRPr="36BF150A" w:rsidR="00101233">
        <w:rPr>
          <w:rFonts w:eastAsia="Calibri"/>
          <w:b w:val="1"/>
          <w:bCs w:val="1"/>
          <w:sz w:val="20"/>
          <w:szCs w:val="20"/>
        </w:rPr>
        <w:t>Overall Decision:</w:t>
      </w:r>
      <w:r w:rsidRPr="36BF150A" w:rsidR="128D0AF9">
        <w:rPr>
          <w:rFonts w:eastAsia="Calibri"/>
          <w:b w:val="1"/>
          <w:bCs w:val="1"/>
          <w:sz w:val="20"/>
          <w:szCs w:val="20"/>
        </w:rPr>
        <w:t xml:space="preserve"> </w:t>
      </w:r>
      <w:r w:rsidRPr="36BF150A" w:rsidR="6484C346">
        <w:rPr>
          <w:rFonts w:eastAsia="Calibri"/>
          <w:b w:val="1"/>
          <w:bCs w:val="1"/>
          <w:sz w:val="20"/>
          <w:szCs w:val="20"/>
        </w:rPr>
        <w:t>ACCEPTED WITH RECOMMENDATIONS</w:t>
      </w:r>
    </w:p>
    <w:tbl>
      <w:tblPr>
        <w:tblStyle w:val="TableGrid"/>
        <w:tblW w:w="0" w:type="auto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Pr="00727B51" w:rsidR="000C516F" w:rsidTr="36BF150A" w14:paraId="1D60CFA9" w14:textId="77777777">
        <w:tc>
          <w:tcPr>
            <w:tcW w:w="3116" w:type="dxa"/>
            <w:tcMar/>
          </w:tcPr>
          <w:p w:rsidRPr="00727B51" w:rsidR="000C516F" w:rsidP="007C4434" w:rsidRDefault="000C516F" w14:paraId="4168693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B51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727B51">
              <w:rPr>
                <w:rFonts w:eastAsia="Calibri" w:cstheme="minorHAnsi"/>
                <w:sz w:val="20"/>
                <w:szCs w:val="20"/>
              </w:rPr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727B51">
              <w:rPr>
                <w:rFonts w:eastAsia="Calibri" w:cstheme="minorHAnsi"/>
                <w:sz w:val="20"/>
                <w:szCs w:val="20"/>
              </w:rPr>
              <w:t xml:space="preserve"> Accepted Without Recommendations</w:t>
            </w:r>
          </w:p>
        </w:tc>
        <w:tc>
          <w:tcPr>
            <w:tcW w:w="3117" w:type="dxa"/>
            <w:shd w:val="clear" w:color="auto" w:fill="FFFF00"/>
            <w:tcMar/>
          </w:tcPr>
          <w:p w:rsidRPr="00727B51" w:rsidR="000C516F" w:rsidP="007C4434" w:rsidRDefault="000C516F" w14:paraId="10A27B7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0"/>
            <w:r w:rsidRPr="00727B51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727B51">
              <w:rPr>
                <w:rFonts w:eastAsia="Calibri" w:cstheme="minorHAnsi"/>
                <w:sz w:val="20"/>
                <w:szCs w:val="20"/>
              </w:rPr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0"/>
            <w:r w:rsidRPr="00727B51">
              <w:rPr>
                <w:rFonts w:eastAsia="Calibri" w:cstheme="minorHAnsi"/>
                <w:sz w:val="20"/>
                <w:szCs w:val="20"/>
              </w:rPr>
              <w:t xml:space="preserve"> Accepted With Recommendations</w:t>
            </w:r>
          </w:p>
        </w:tc>
        <w:tc>
          <w:tcPr>
            <w:tcW w:w="3117" w:type="dxa"/>
            <w:tcMar/>
          </w:tcPr>
          <w:p w:rsidRPr="00727B51" w:rsidR="000C516F" w:rsidP="007C4434" w:rsidRDefault="000C516F" w14:paraId="542AE2C2" w14:textId="7777777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27B51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B51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727B51">
              <w:rPr>
                <w:rFonts w:eastAsia="Calibri" w:cstheme="minorHAnsi"/>
                <w:sz w:val="20"/>
                <w:szCs w:val="20"/>
              </w:rPr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727B51">
              <w:rPr>
                <w:rFonts w:eastAsia="Calibri" w:cstheme="minorHAnsi"/>
                <w:sz w:val="20"/>
                <w:szCs w:val="20"/>
              </w:rPr>
              <w:t xml:space="preserve"> Accepted with Required Recommendations</w:t>
            </w:r>
          </w:p>
        </w:tc>
        <w:tc>
          <w:tcPr>
            <w:tcW w:w="3117" w:type="dxa"/>
            <w:tcMar/>
          </w:tcPr>
          <w:p w:rsidRPr="00727B51" w:rsidR="000C516F" w:rsidP="007C4434" w:rsidRDefault="000C516F" w14:paraId="3A308CA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7B51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B51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 w:rsidRPr="00727B51">
              <w:rPr>
                <w:rFonts w:eastAsia="Calibri" w:cstheme="minorHAnsi"/>
                <w:sz w:val="20"/>
                <w:szCs w:val="20"/>
              </w:rPr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727B51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727B51">
              <w:rPr>
                <w:rFonts w:eastAsia="Calibri" w:cstheme="minorHAnsi"/>
                <w:sz w:val="20"/>
                <w:szCs w:val="20"/>
              </w:rPr>
              <w:t xml:space="preserve"> Revisit and Revise</w:t>
            </w:r>
          </w:p>
        </w:tc>
      </w:tr>
    </w:tbl>
    <w:p w:rsidRPr="00727B51" w:rsidR="00101233" w:rsidP="00101233" w:rsidRDefault="00101233" w14:paraId="23DE523C" w14:textId="77777777">
      <w:pPr>
        <w:jc w:val="center"/>
        <w:rPr>
          <w:rFonts w:cstheme="minorHAnsi"/>
          <w:sz w:val="20"/>
          <w:szCs w:val="20"/>
        </w:rPr>
      </w:pPr>
    </w:p>
    <w:p w:rsidRPr="00727B51" w:rsidR="00101233" w:rsidP="00101233" w:rsidRDefault="00101233" w14:paraId="52E56223" w14:textId="77777777">
      <w:pPr>
        <w:rPr>
          <w:rFonts w:cstheme="minorHAnsi"/>
          <w:sz w:val="20"/>
          <w:szCs w:val="20"/>
        </w:rPr>
      </w:pPr>
    </w:p>
    <w:p w:rsidRPr="00727B51" w:rsidR="00101233" w:rsidP="502C0D29" w:rsidRDefault="00101233" w14:paraId="29882F5A" w14:textId="3D85E708">
      <w:pPr>
        <w:rPr>
          <w:b/>
          <w:bCs/>
          <w:sz w:val="20"/>
          <w:szCs w:val="20"/>
        </w:rPr>
      </w:pPr>
      <w:r w:rsidRPr="36BF150A" w:rsidR="00101233">
        <w:rPr>
          <w:b w:val="1"/>
          <w:bCs w:val="1"/>
          <w:sz w:val="20"/>
          <w:szCs w:val="20"/>
        </w:rPr>
        <w:t>General comments about the submission or rationale for the</w:t>
      </w:r>
      <w:r w:rsidRPr="36BF150A" w:rsidR="02589EF8">
        <w:rPr>
          <w:b w:val="1"/>
          <w:bCs w:val="1"/>
          <w:sz w:val="20"/>
          <w:szCs w:val="20"/>
        </w:rPr>
        <w:t xml:space="preserve"> </w:t>
      </w:r>
      <w:r w:rsidRPr="36BF150A" w:rsidR="00101233">
        <w:rPr>
          <w:b w:val="1"/>
          <w:bCs w:val="1"/>
          <w:sz w:val="20"/>
          <w:szCs w:val="20"/>
        </w:rPr>
        <w:t>conclusion:</w:t>
      </w:r>
    </w:p>
    <w:p w:rsidR="4E254E05" w:rsidP="36BF150A" w:rsidRDefault="4E254E05" w14:paraId="65FE256F" w14:textId="5D643B8A">
      <w:pPr>
        <w:rPr>
          <w:b w:val="0"/>
          <w:bCs w:val="0"/>
          <w:sz w:val="20"/>
          <w:szCs w:val="20"/>
        </w:rPr>
      </w:pPr>
      <w:r w:rsidRPr="36BF150A" w:rsidR="3CA3489B">
        <w:rPr>
          <w:b w:val="0"/>
          <w:bCs w:val="0"/>
          <w:sz w:val="20"/>
          <w:szCs w:val="20"/>
        </w:rPr>
        <w:t xml:space="preserve">The revised review clearly </w:t>
      </w:r>
      <w:r w:rsidRPr="36BF150A" w:rsidR="3CA3489B">
        <w:rPr>
          <w:b w:val="0"/>
          <w:bCs w:val="0"/>
          <w:sz w:val="20"/>
          <w:szCs w:val="20"/>
        </w:rPr>
        <w:t>demonstrates</w:t>
      </w:r>
      <w:r w:rsidRPr="36BF150A" w:rsidR="3CA3489B">
        <w:rPr>
          <w:b w:val="0"/>
          <w:bCs w:val="0"/>
          <w:sz w:val="20"/>
          <w:szCs w:val="20"/>
        </w:rPr>
        <w:t xml:space="preserve"> the Dental Hygiene program’s success and engagement with their community and workforce. </w:t>
      </w:r>
      <w:r w:rsidRPr="36BF150A" w:rsidR="3C0A6E55">
        <w:rPr>
          <w:b w:val="0"/>
          <w:bCs w:val="0"/>
          <w:sz w:val="20"/>
          <w:szCs w:val="20"/>
        </w:rPr>
        <w:t xml:space="preserve">Some of the remaining </w:t>
      </w:r>
      <w:r w:rsidRPr="36BF150A" w:rsidR="0FB56268">
        <w:rPr>
          <w:b w:val="0"/>
          <w:bCs w:val="0"/>
          <w:sz w:val="20"/>
          <w:szCs w:val="20"/>
        </w:rPr>
        <w:t>discrepancies</w:t>
      </w:r>
      <w:r w:rsidRPr="36BF150A" w:rsidR="4D503B82">
        <w:rPr>
          <w:b w:val="0"/>
          <w:bCs w:val="0"/>
          <w:sz w:val="20"/>
          <w:szCs w:val="20"/>
        </w:rPr>
        <w:t xml:space="preserve"> within the review </w:t>
      </w:r>
      <w:r w:rsidRPr="36BF150A" w:rsidR="3C0A6E55">
        <w:rPr>
          <w:b w:val="0"/>
          <w:bCs w:val="0"/>
          <w:sz w:val="20"/>
          <w:szCs w:val="20"/>
        </w:rPr>
        <w:t xml:space="preserve">include </w:t>
      </w:r>
      <w:r w:rsidRPr="36BF150A" w:rsidR="5135F498">
        <w:rPr>
          <w:b w:val="0"/>
          <w:bCs w:val="0"/>
          <w:sz w:val="20"/>
          <w:szCs w:val="20"/>
        </w:rPr>
        <w:t xml:space="preserve">missing evidence or analyses </w:t>
      </w:r>
      <w:r w:rsidRPr="36BF150A" w:rsidR="3C0A6E55">
        <w:rPr>
          <w:b w:val="0"/>
          <w:bCs w:val="0"/>
          <w:sz w:val="20"/>
          <w:szCs w:val="20"/>
        </w:rPr>
        <w:t xml:space="preserve">within sections 3 and 11. </w:t>
      </w:r>
      <w:r w:rsidRPr="36BF150A" w:rsidR="5E3DB2E2">
        <w:rPr>
          <w:b w:val="0"/>
          <w:bCs w:val="0"/>
          <w:sz w:val="20"/>
          <w:szCs w:val="20"/>
        </w:rPr>
        <w:t xml:space="preserve">Section 3 continues to miss discussion of the demographics within the program – specifically, how these demographics affect changes to the program’s future. </w:t>
      </w:r>
      <w:r w:rsidRPr="36BF150A" w:rsidR="6F526F9A">
        <w:rPr>
          <w:b w:val="0"/>
          <w:bCs w:val="0"/>
          <w:sz w:val="20"/>
          <w:szCs w:val="20"/>
        </w:rPr>
        <w:t xml:space="preserve">Section 11 includes </w:t>
      </w:r>
      <w:r w:rsidRPr="36BF150A" w:rsidR="6F526F9A">
        <w:rPr>
          <w:b w:val="0"/>
          <w:bCs w:val="0"/>
          <w:sz w:val="20"/>
          <w:szCs w:val="20"/>
        </w:rPr>
        <w:t>new information</w:t>
      </w:r>
      <w:r w:rsidRPr="36BF150A" w:rsidR="6F526F9A">
        <w:rPr>
          <w:b w:val="0"/>
          <w:bCs w:val="0"/>
          <w:sz w:val="20"/>
          <w:szCs w:val="20"/>
        </w:rPr>
        <w:t xml:space="preserve"> that was not previously mentioned in other sections. </w:t>
      </w:r>
      <w:r w:rsidRPr="36BF150A" w:rsidR="6F526F9A">
        <w:rPr>
          <w:b w:val="0"/>
          <w:bCs w:val="0"/>
          <w:sz w:val="20"/>
          <w:szCs w:val="20"/>
        </w:rPr>
        <w:t>Thes</w:t>
      </w:r>
      <w:r w:rsidRPr="36BF150A" w:rsidR="0747F408">
        <w:rPr>
          <w:b w:val="0"/>
          <w:bCs w:val="0"/>
          <w:sz w:val="20"/>
          <w:szCs w:val="20"/>
        </w:rPr>
        <w:t>e weaknesses</w:t>
      </w:r>
      <w:r w:rsidRPr="36BF150A" w:rsidR="5C97C9A8">
        <w:rPr>
          <w:b w:val="0"/>
          <w:bCs w:val="0"/>
          <w:sz w:val="20"/>
          <w:szCs w:val="20"/>
        </w:rPr>
        <w:t xml:space="preserve"> mentioned in section 11</w:t>
      </w:r>
      <w:r w:rsidRPr="36BF150A" w:rsidR="0747F408">
        <w:rPr>
          <w:b w:val="0"/>
          <w:bCs w:val="0"/>
          <w:sz w:val="20"/>
          <w:szCs w:val="20"/>
        </w:rPr>
        <w:t xml:space="preserve"> should be addressed earlier </w:t>
      </w:r>
      <w:r w:rsidRPr="36BF150A" w:rsidR="173863F0">
        <w:rPr>
          <w:b w:val="0"/>
          <w:bCs w:val="0"/>
          <w:sz w:val="20"/>
          <w:szCs w:val="20"/>
        </w:rPr>
        <w:t xml:space="preserve">in both </w:t>
      </w:r>
      <w:r w:rsidRPr="36BF150A" w:rsidR="0747F408">
        <w:rPr>
          <w:b w:val="0"/>
          <w:bCs w:val="0"/>
          <w:sz w:val="20"/>
          <w:szCs w:val="20"/>
        </w:rPr>
        <w:t>the executive summary</w:t>
      </w:r>
      <w:r w:rsidRPr="36BF150A" w:rsidR="4AF24707">
        <w:rPr>
          <w:b w:val="0"/>
          <w:bCs w:val="0"/>
          <w:sz w:val="20"/>
          <w:szCs w:val="20"/>
        </w:rPr>
        <w:t xml:space="preserve"> and section 4.</w:t>
      </w:r>
    </w:p>
    <w:sectPr w:rsidR="4E254E05" w:rsidSect="006E4B69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78BA" w:rsidP="00B01512" w:rsidRDefault="00F978BA" w14:paraId="70DF9E56" w14:textId="77777777">
      <w:pPr>
        <w:spacing w:after="0" w:line="240" w:lineRule="auto"/>
      </w:pPr>
      <w:r>
        <w:separator/>
      </w:r>
    </w:p>
  </w:endnote>
  <w:endnote w:type="continuationSeparator" w:id="0">
    <w:p w:rsidR="00F978BA" w:rsidP="00B01512" w:rsidRDefault="00F978BA" w14:paraId="44E871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00FD" w:rsidRDefault="00EB2442" w14:paraId="74357CC0" w14:textId="77777777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78BA" w:rsidP="00B01512" w:rsidRDefault="00F978BA" w14:paraId="144A5D23" w14:textId="77777777">
      <w:pPr>
        <w:spacing w:after="0" w:line="240" w:lineRule="auto"/>
      </w:pPr>
      <w:r>
        <w:separator/>
      </w:r>
    </w:p>
  </w:footnote>
  <w:footnote w:type="continuationSeparator" w:id="0">
    <w:p w:rsidR="00F978BA" w:rsidP="00B01512" w:rsidRDefault="00F978BA" w14:paraId="738610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936B8" w:rsidP="00FE3878" w:rsidRDefault="00FE3878" w14:paraId="14B5651D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4E962F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AC5518" w:rsidR="002540F4" w:rsidP="003936B8" w:rsidRDefault="002540F4" w14:paraId="34A18726" w14:textId="77777777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Pr="00AC5518" w:rsidR="00FE3878">
      <w:rPr>
        <w:b/>
        <w:sz w:val="24"/>
        <w:szCs w:val="24"/>
      </w:rPr>
      <w:t xml:space="preserve"> </w:t>
    </w:r>
    <w:r w:rsidRPr="00AC5518" w:rsidR="00B341D4">
      <w:rPr>
        <w:b/>
        <w:sz w:val="24"/>
        <w:szCs w:val="24"/>
      </w:rPr>
      <w:t xml:space="preserve">PROGRAM </w:t>
    </w:r>
    <w:r w:rsidRPr="00AC5518" w:rsidR="00FE387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</w:p>
  <w:p w:rsidR="002540F4" w:rsidP="002540F4" w:rsidRDefault="002540F4" w14:paraId="6537F28F" w14:textId="77777777">
    <w:pPr>
      <w:pStyle w:val="Header"/>
      <w:jc w:val="center"/>
    </w:pPr>
  </w:p>
  <w:p w:rsidR="003936B8" w:rsidP="002540F4" w:rsidRDefault="003936B8" w14:paraId="6DFB9E20" w14:textId="77777777">
    <w:pPr>
      <w:pStyle w:val="Header"/>
      <w:jc w:val="center"/>
    </w:pPr>
  </w:p>
  <w:p w:rsidRPr="003A1B2E" w:rsidR="002540F4" w:rsidP="002540F4" w:rsidRDefault="002540F4" w14:paraId="00D0AB5D" w14:textId="77777777">
    <w:pPr>
      <w:pStyle w:val="Header"/>
      <w:rPr>
        <w:b/>
      </w:rPr>
    </w:pPr>
    <w:r w:rsidRPr="003A1B2E">
      <w:rPr>
        <w:b/>
      </w:rPr>
      <w:t>Program: ___</w:t>
    </w:r>
    <w:r w:rsidR="00727B51">
      <w:rPr>
        <w:b/>
      </w:rPr>
      <w:t>Dental Hygiene</w:t>
    </w:r>
    <w:r w:rsidRPr="003A1B2E">
      <w:rPr>
        <w:b/>
      </w:rPr>
      <w:t>_________________________________         Reviewer</w:t>
    </w:r>
    <w:r w:rsidRPr="003A1B2E" w:rsidR="003936B8">
      <w:rPr>
        <w:b/>
      </w:rPr>
      <w:t>:</w:t>
    </w:r>
    <w:r w:rsidRPr="003A1B2E">
      <w:rPr>
        <w:b/>
      </w:rPr>
      <w:t xml:space="preserve">  ___</w:t>
    </w:r>
    <w:r w:rsidR="00727B51">
      <w:rPr>
        <w:b/>
      </w:rPr>
      <w:t>Andrea Martinez</w:t>
    </w:r>
    <w:r w:rsidRPr="003A1B2E">
      <w:rPr>
        <w:b/>
      </w:rPr>
      <w:t>_____</w:t>
    </w:r>
    <w:r w:rsidRPr="003A1B2E" w:rsidR="00DA2668">
      <w:rPr>
        <w:b/>
      </w:rPr>
      <w:t>________</w:t>
    </w:r>
    <w:r w:rsidRPr="003A1B2E">
      <w:rPr>
        <w:b/>
      </w:rPr>
      <w:t>__</w:t>
    </w:r>
  </w:p>
  <w:p w:rsidRPr="00CC320D" w:rsidR="00B01512" w:rsidP="00B01512" w:rsidRDefault="00CC320D" w14:paraId="29D6B04F" w14:textId="77777777"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3699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6E77"/>
    <w:rsid w:val="00037E9E"/>
    <w:rsid w:val="00043235"/>
    <w:rsid w:val="000755A3"/>
    <w:rsid w:val="000B2E80"/>
    <w:rsid w:val="000B370E"/>
    <w:rsid w:val="000C516F"/>
    <w:rsid w:val="000E34DD"/>
    <w:rsid w:val="000F7E54"/>
    <w:rsid w:val="00101233"/>
    <w:rsid w:val="00126303"/>
    <w:rsid w:val="001409AC"/>
    <w:rsid w:val="0016B3B1"/>
    <w:rsid w:val="00186620"/>
    <w:rsid w:val="001A7AFC"/>
    <w:rsid w:val="002049D6"/>
    <w:rsid w:val="002148CA"/>
    <w:rsid w:val="00221F1E"/>
    <w:rsid w:val="002479C9"/>
    <w:rsid w:val="002540F4"/>
    <w:rsid w:val="0029032F"/>
    <w:rsid w:val="003936B8"/>
    <w:rsid w:val="003A1B2E"/>
    <w:rsid w:val="004A25E8"/>
    <w:rsid w:val="004A6DA5"/>
    <w:rsid w:val="00547213"/>
    <w:rsid w:val="00577F53"/>
    <w:rsid w:val="005A5CEB"/>
    <w:rsid w:val="006031F5"/>
    <w:rsid w:val="00662651"/>
    <w:rsid w:val="00686750"/>
    <w:rsid w:val="006E4B69"/>
    <w:rsid w:val="006E7B2B"/>
    <w:rsid w:val="00727B51"/>
    <w:rsid w:val="00727E36"/>
    <w:rsid w:val="00756D36"/>
    <w:rsid w:val="00757438"/>
    <w:rsid w:val="00785CEB"/>
    <w:rsid w:val="007D1A57"/>
    <w:rsid w:val="008032D0"/>
    <w:rsid w:val="00823434"/>
    <w:rsid w:val="0083136D"/>
    <w:rsid w:val="00852248"/>
    <w:rsid w:val="008904DE"/>
    <w:rsid w:val="008A3AFC"/>
    <w:rsid w:val="008B6986"/>
    <w:rsid w:val="008D7196"/>
    <w:rsid w:val="008F68EB"/>
    <w:rsid w:val="0094432D"/>
    <w:rsid w:val="00963794"/>
    <w:rsid w:val="009B0781"/>
    <w:rsid w:val="009BDDDE"/>
    <w:rsid w:val="00A14793"/>
    <w:rsid w:val="00A25E4B"/>
    <w:rsid w:val="00A855B9"/>
    <w:rsid w:val="00A9154E"/>
    <w:rsid w:val="00AC5518"/>
    <w:rsid w:val="00B01512"/>
    <w:rsid w:val="00B200FD"/>
    <w:rsid w:val="00B341D4"/>
    <w:rsid w:val="00B65CEF"/>
    <w:rsid w:val="00BB53E5"/>
    <w:rsid w:val="00BF0129"/>
    <w:rsid w:val="00BF5AAF"/>
    <w:rsid w:val="00C34898"/>
    <w:rsid w:val="00C61195"/>
    <w:rsid w:val="00CC320D"/>
    <w:rsid w:val="00D463E8"/>
    <w:rsid w:val="00DA2668"/>
    <w:rsid w:val="00DA7AFA"/>
    <w:rsid w:val="00DC0417"/>
    <w:rsid w:val="00DD73E4"/>
    <w:rsid w:val="00DF4042"/>
    <w:rsid w:val="00E23DB6"/>
    <w:rsid w:val="00EB2442"/>
    <w:rsid w:val="00EC5BB5"/>
    <w:rsid w:val="00EC5D1A"/>
    <w:rsid w:val="00F020C9"/>
    <w:rsid w:val="00F235D7"/>
    <w:rsid w:val="00F47C26"/>
    <w:rsid w:val="00F66881"/>
    <w:rsid w:val="00F85A94"/>
    <w:rsid w:val="00F978BA"/>
    <w:rsid w:val="00FE3878"/>
    <w:rsid w:val="01403A75"/>
    <w:rsid w:val="01504AC9"/>
    <w:rsid w:val="01A31E85"/>
    <w:rsid w:val="01E9F8E7"/>
    <w:rsid w:val="02589EF8"/>
    <w:rsid w:val="025F3894"/>
    <w:rsid w:val="02B33C0C"/>
    <w:rsid w:val="02F02CBC"/>
    <w:rsid w:val="035606C5"/>
    <w:rsid w:val="037D409D"/>
    <w:rsid w:val="039EE778"/>
    <w:rsid w:val="03B874F5"/>
    <w:rsid w:val="046559ED"/>
    <w:rsid w:val="047F8E07"/>
    <w:rsid w:val="04C34E22"/>
    <w:rsid w:val="057E0CB5"/>
    <w:rsid w:val="05BD212D"/>
    <w:rsid w:val="06081AEB"/>
    <w:rsid w:val="0663E4A7"/>
    <w:rsid w:val="0671A813"/>
    <w:rsid w:val="06946DFA"/>
    <w:rsid w:val="06A3EDB3"/>
    <w:rsid w:val="06B8C5EC"/>
    <w:rsid w:val="06D8C84C"/>
    <w:rsid w:val="070445B7"/>
    <w:rsid w:val="0747F408"/>
    <w:rsid w:val="0883AD9A"/>
    <w:rsid w:val="088D6BD7"/>
    <w:rsid w:val="08B2635E"/>
    <w:rsid w:val="091A8031"/>
    <w:rsid w:val="09A1125A"/>
    <w:rsid w:val="09B6E540"/>
    <w:rsid w:val="0ACD4F03"/>
    <w:rsid w:val="0AD932CC"/>
    <w:rsid w:val="0B0F7C76"/>
    <w:rsid w:val="0B6B693E"/>
    <w:rsid w:val="0B8F7326"/>
    <w:rsid w:val="0B9BCD91"/>
    <w:rsid w:val="0DAC89C5"/>
    <w:rsid w:val="0E2DE4F3"/>
    <w:rsid w:val="0E38458D"/>
    <w:rsid w:val="0ED36E53"/>
    <w:rsid w:val="0F22FF1D"/>
    <w:rsid w:val="0FACAB9B"/>
    <w:rsid w:val="0FB56268"/>
    <w:rsid w:val="0FC277DC"/>
    <w:rsid w:val="102FDE77"/>
    <w:rsid w:val="1034C501"/>
    <w:rsid w:val="117E6D2D"/>
    <w:rsid w:val="11FF76E1"/>
    <w:rsid w:val="124E0D40"/>
    <w:rsid w:val="128D0AF9"/>
    <w:rsid w:val="1298C9FC"/>
    <w:rsid w:val="12BF7780"/>
    <w:rsid w:val="13834CC4"/>
    <w:rsid w:val="14C5E758"/>
    <w:rsid w:val="14D12DE2"/>
    <w:rsid w:val="15669158"/>
    <w:rsid w:val="157EC159"/>
    <w:rsid w:val="158FA520"/>
    <w:rsid w:val="15FC29EC"/>
    <w:rsid w:val="163672CA"/>
    <w:rsid w:val="164DB08E"/>
    <w:rsid w:val="1665EE5F"/>
    <w:rsid w:val="16841208"/>
    <w:rsid w:val="16D5F77A"/>
    <w:rsid w:val="16FFA1E4"/>
    <w:rsid w:val="17160B97"/>
    <w:rsid w:val="172702C0"/>
    <w:rsid w:val="173863F0"/>
    <w:rsid w:val="176E8471"/>
    <w:rsid w:val="1784F989"/>
    <w:rsid w:val="17A96B9D"/>
    <w:rsid w:val="17DAB79D"/>
    <w:rsid w:val="18346192"/>
    <w:rsid w:val="186A0176"/>
    <w:rsid w:val="197511CD"/>
    <w:rsid w:val="199CB220"/>
    <w:rsid w:val="1A50E55B"/>
    <w:rsid w:val="1ABD167E"/>
    <w:rsid w:val="1B2D43E8"/>
    <w:rsid w:val="1B83AA17"/>
    <w:rsid w:val="1B860CC6"/>
    <w:rsid w:val="1B9F90A8"/>
    <w:rsid w:val="1BF77A05"/>
    <w:rsid w:val="1C29D408"/>
    <w:rsid w:val="1C343259"/>
    <w:rsid w:val="1D0ED8AF"/>
    <w:rsid w:val="1D937CE9"/>
    <w:rsid w:val="1DF29A6D"/>
    <w:rsid w:val="1E6EF4AD"/>
    <w:rsid w:val="1EA8EC83"/>
    <w:rsid w:val="1ED5C6C1"/>
    <w:rsid w:val="1F2F45CF"/>
    <w:rsid w:val="208B0756"/>
    <w:rsid w:val="209F7AC0"/>
    <w:rsid w:val="20F136EF"/>
    <w:rsid w:val="2184A943"/>
    <w:rsid w:val="21F5D306"/>
    <w:rsid w:val="22760C1F"/>
    <w:rsid w:val="22AAD4D3"/>
    <w:rsid w:val="23EE5954"/>
    <w:rsid w:val="248994F1"/>
    <w:rsid w:val="25485B06"/>
    <w:rsid w:val="262DFDB0"/>
    <w:rsid w:val="26336E37"/>
    <w:rsid w:val="2652EF02"/>
    <w:rsid w:val="268B0F93"/>
    <w:rsid w:val="27A7DE91"/>
    <w:rsid w:val="2811D81C"/>
    <w:rsid w:val="2817628B"/>
    <w:rsid w:val="296D3784"/>
    <w:rsid w:val="29A7ECB6"/>
    <w:rsid w:val="2A2AB0A7"/>
    <w:rsid w:val="2A9331B6"/>
    <w:rsid w:val="2B16F605"/>
    <w:rsid w:val="2B1E739A"/>
    <w:rsid w:val="2B8F5514"/>
    <w:rsid w:val="2C50D5EE"/>
    <w:rsid w:val="2C6A4871"/>
    <w:rsid w:val="2C7394FF"/>
    <w:rsid w:val="2C8C1DC7"/>
    <w:rsid w:val="2CA2AFBB"/>
    <w:rsid w:val="2CE5ADE6"/>
    <w:rsid w:val="2E1B078A"/>
    <w:rsid w:val="2E1CB7FC"/>
    <w:rsid w:val="2E395FE1"/>
    <w:rsid w:val="2EFE1AD0"/>
    <w:rsid w:val="2F49BA44"/>
    <w:rsid w:val="2F6A7E0E"/>
    <w:rsid w:val="30187961"/>
    <w:rsid w:val="301D34A4"/>
    <w:rsid w:val="30879E5C"/>
    <w:rsid w:val="31470622"/>
    <w:rsid w:val="316C5D94"/>
    <w:rsid w:val="31DA65C7"/>
    <w:rsid w:val="31E4FD8B"/>
    <w:rsid w:val="332ADFF8"/>
    <w:rsid w:val="33A608F8"/>
    <w:rsid w:val="340CB273"/>
    <w:rsid w:val="3486905E"/>
    <w:rsid w:val="3519853C"/>
    <w:rsid w:val="356EEBC7"/>
    <w:rsid w:val="35FAD203"/>
    <w:rsid w:val="364A0E2D"/>
    <w:rsid w:val="36646B73"/>
    <w:rsid w:val="36BF150A"/>
    <w:rsid w:val="37C156F4"/>
    <w:rsid w:val="380CD0B3"/>
    <w:rsid w:val="384934D3"/>
    <w:rsid w:val="38648D80"/>
    <w:rsid w:val="3895F5B5"/>
    <w:rsid w:val="38F8FB70"/>
    <w:rsid w:val="397F9EA6"/>
    <w:rsid w:val="39AB0891"/>
    <w:rsid w:val="3A0531E3"/>
    <w:rsid w:val="3A9D37ED"/>
    <w:rsid w:val="3AE29B8E"/>
    <w:rsid w:val="3AE4C936"/>
    <w:rsid w:val="3B13505D"/>
    <w:rsid w:val="3B29918E"/>
    <w:rsid w:val="3BCEF497"/>
    <w:rsid w:val="3C0A6E55"/>
    <w:rsid w:val="3C3AF2F2"/>
    <w:rsid w:val="3C97E3F0"/>
    <w:rsid w:val="3CA3489B"/>
    <w:rsid w:val="3CD7616F"/>
    <w:rsid w:val="3CE2A953"/>
    <w:rsid w:val="3D14ABE5"/>
    <w:rsid w:val="3D29FEA8"/>
    <w:rsid w:val="3DEB0F77"/>
    <w:rsid w:val="3E7047EE"/>
    <w:rsid w:val="3E7E79B4"/>
    <w:rsid w:val="3EF9BC71"/>
    <w:rsid w:val="3F71D800"/>
    <w:rsid w:val="3F93AB49"/>
    <w:rsid w:val="402E540F"/>
    <w:rsid w:val="407B4B3E"/>
    <w:rsid w:val="40958CD2"/>
    <w:rsid w:val="40A5CB57"/>
    <w:rsid w:val="40B2197D"/>
    <w:rsid w:val="411769AF"/>
    <w:rsid w:val="4122B039"/>
    <w:rsid w:val="41C3CB81"/>
    <w:rsid w:val="41D83541"/>
    <w:rsid w:val="41F8A953"/>
    <w:rsid w:val="423AAB7F"/>
    <w:rsid w:val="4250DD37"/>
    <w:rsid w:val="42909DD1"/>
    <w:rsid w:val="42C9B9C8"/>
    <w:rsid w:val="42F19BE8"/>
    <w:rsid w:val="43178199"/>
    <w:rsid w:val="445A50FB"/>
    <w:rsid w:val="446CE7AF"/>
    <w:rsid w:val="449CB834"/>
    <w:rsid w:val="451431BA"/>
    <w:rsid w:val="454B502C"/>
    <w:rsid w:val="4571B64B"/>
    <w:rsid w:val="45784053"/>
    <w:rsid w:val="45C69424"/>
    <w:rsid w:val="45CA8D63"/>
    <w:rsid w:val="470DE7C2"/>
    <w:rsid w:val="4763C188"/>
    <w:rsid w:val="47C539D8"/>
    <w:rsid w:val="47DC4270"/>
    <w:rsid w:val="48191A50"/>
    <w:rsid w:val="48A9ED03"/>
    <w:rsid w:val="495700FA"/>
    <w:rsid w:val="49A185C5"/>
    <w:rsid w:val="49B339D7"/>
    <w:rsid w:val="49D922BE"/>
    <w:rsid w:val="4A5EE795"/>
    <w:rsid w:val="4A89884A"/>
    <w:rsid w:val="4A9A0547"/>
    <w:rsid w:val="4AA9C458"/>
    <w:rsid w:val="4AC8FE34"/>
    <w:rsid w:val="4AD55DCC"/>
    <w:rsid w:val="4AF24707"/>
    <w:rsid w:val="4C2CC725"/>
    <w:rsid w:val="4C70A5A7"/>
    <w:rsid w:val="4D2F0623"/>
    <w:rsid w:val="4D503B82"/>
    <w:rsid w:val="4DE4860A"/>
    <w:rsid w:val="4E254E05"/>
    <w:rsid w:val="4E3122F1"/>
    <w:rsid w:val="4E319F3B"/>
    <w:rsid w:val="4E90BB76"/>
    <w:rsid w:val="4E928B9B"/>
    <w:rsid w:val="4F751B11"/>
    <w:rsid w:val="5018D799"/>
    <w:rsid w:val="50202FD9"/>
    <w:rsid w:val="502C0D29"/>
    <w:rsid w:val="50B39E22"/>
    <w:rsid w:val="5135F498"/>
    <w:rsid w:val="518B305A"/>
    <w:rsid w:val="51A1F7E5"/>
    <w:rsid w:val="52399A0A"/>
    <w:rsid w:val="52DB97CA"/>
    <w:rsid w:val="53FCDE58"/>
    <w:rsid w:val="5528F739"/>
    <w:rsid w:val="556C832E"/>
    <w:rsid w:val="55C8F99A"/>
    <w:rsid w:val="55D658EB"/>
    <w:rsid w:val="55DCDA24"/>
    <w:rsid w:val="56048E61"/>
    <w:rsid w:val="56075790"/>
    <w:rsid w:val="5659BC55"/>
    <w:rsid w:val="56AFFAC3"/>
    <w:rsid w:val="56EDCC93"/>
    <w:rsid w:val="570D75EF"/>
    <w:rsid w:val="5769D922"/>
    <w:rsid w:val="588784A7"/>
    <w:rsid w:val="58A09002"/>
    <w:rsid w:val="58B26CC8"/>
    <w:rsid w:val="58B51C7D"/>
    <w:rsid w:val="59804F1E"/>
    <w:rsid w:val="5A212094"/>
    <w:rsid w:val="5AADC5FA"/>
    <w:rsid w:val="5AF70EDA"/>
    <w:rsid w:val="5BDB4746"/>
    <w:rsid w:val="5BE460E3"/>
    <w:rsid w:val="5C18314C"/>
    <w:rsid w:val="5C97C9A8"/>
    <w:rsid w:val="5CD9CCED"/>
    <w:rsid w:val="5D4ADAB6"/>
    <w:rsid w:val="5D525909"/>
    <w:rsid w:val="5D84EED6"/>
    <w:rsid w:val="5DCDFBA3"/>
    <w:rsid w:val="5DFEAABA"/>
    <w:rsid w:val="5E3DB2E2"/>
    <w:rsid w:val="5EBA0CDE"/>
    <w:rsid w:val="5EBC9ADF"/>
    <w:rsid w:val="5ECCD69B"/>
    <w:rsid w:val="6009ECE7"/>
    <w:rsid w:val="602518CC"/>
    <w:rsid w:val="608A609D"/>
    <w:rsid w:val="609330D2"/>
    <w:rsid w:val="60F5311C"/>
    <w:rsid w:val="620095AE"/>
    <w:rsid w:val="6281EBFB"/>
    <w:rsid w:val="62A7F0A6"/>
    <w:rsid w:val="633E76C2"/>
    <w:rsid w:val="63EEA1A0"/>
    <w:rsid w:val="641AE4F0"/>
    <w:rsid w:val="6433134A"/>
    <w:rsid w:val="6482ED70"/>
    <w:rsid w:val="6484C346"/>
    <w:rsid w:val="6508CDBF"/>
    <w:rsid w:val="65B60F6B"/>
    <w:rsid w:val="66AEBB83"/>
    <w:rsid w:val="67264262"/>
    <w:rsid w:val="672E2BDC"/>
    <w:rsid w:val="6750586F"/>
    <w:rsid w:val="68EC0D44"/>
    <w:rsid w:val="69342BAA"/>
    <w:rsid w:val="69B8BCB3"/>
    <w:rsid w:val="69EF5E3D"/>
    <w:rsid w:val="6BD1DC9B"/>
    <w:rsid w:val="6C5CBCA4"/>
    <w:rsid w:val="6CF05D75"/>
    <w:rsid w:val="6D2E6F55"/>
    <w:rsid w:val="6D415426"/>
    <w:rsid w:val="6D558B4C"/>
    <w:rsid w:val="6DC93918"/>
    <w:rsid w:val="6DCC8C28"/>
    <w:rsid w:val="6DF0D4B0"/>
    <w:rsid w:val="6DF20CA3"/>
    <w:rsid w:val="6E64BF85"/>
    <w:rsid w:val="6EB9DBDA"/>
    <w:rsid w:val="6F1FBC04"/>
    <w:rsid w:val="6F526F9A"/>
    <w:rsid w:val="70008FE6"/>
    <w:rsid w:val="700E0C8C"/>
    <w:rsid w:val="700EC2DC"/>
    <w:rsid w:val="707414CC"/>
    <w:rsid w:val="707CC40D"/>
    <w:rsid w:val="70E4C371"/>
    <w:rsid w:val="70F8656D"/>
    <w:rsid w:val="71042CEA"/>
    <w:rsid w:val="7154981B"/>
    <w:rsid w:val="71A7868C"/>
    <w:rsid w:val="71C3CE98"/>
    <w:rsid w:val="727663DA"/>
    <w:rsid w:val="72965207"/>
    <w:rsid w:val="7367796D"/>
    <w:rsid w:val="73E05776"/>
    <w:rsid w:val="74AEDBA5"/>
    <w:rsid w:val="74E63F2A"/>
    <w:rsid w:val="74EEF35E"/>
    <w:rsid w:val="75E15AC9"/>
    <w:rsid w:val="77091497"/>
    <w:rsid w:val="771A20BD"/>
    <w:rsid w:val="77244D8A"/>
    <w:rsid w:val="77401C20"/>
    <w:rsid w:val="78128B53"/>
    <w:rsid w:val="78F03FB7"/>
    <w:rsid w:val="790F3ECF"/>
    <w:rsid w:val="7970F23D"/>
    <w:rsid w:val="79C1F8CB"/>
    <w:rsid w:val="79E56155"/>
    <w:rsid w:val="79FD2DDB"/>
    <w:rsid w:val="7A6B1D67"/>
    <w:rsid w:val="7A8FD9AB"/>
    <w:rsid w:val="7BBFB730"/>
    <w:rsid w:val="7C34A815"/>
    <w:rsid w:val="7CB6296A"/>
    <w:rsid w:val="7CDF12EE"/>
    <w:rsid w:val="7DC2739C"/>
    <w:rsid w:val="7E08A531"/>
    <w:rsid w:val="7E1EC675"/>
    <w:rsid w:val="7E7AE34F"/>
    <w:rsid w:val="7F4E983D"/>
    <w:rsid w:val="7F574F11"/>
    <w:rsid w:val="7F9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E40A7"/>
  <w15:docId w15:val="{1E64F6CF-090B-45B1-A3BD-B9ED87573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7605-8D3D-46F4-AA2E-6269F0798B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Collin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Workforce Program Review Submission Checklist</dc:title>
  <dc:creator>Institutional Effectiveness</dc:creator>
  <keywords>program review</keywords>
  <lastModifiedBy>Andrea Martinez</lastModifiedBy>
  <revision>3</revision>
  <lastPrinted>2014-09-17T18:56:00.0000000Z</lastPrinted>
  <dcterms:created xsi:type="dcterms:W3CDTF">2024-11-07T18:37:00.0000000Z</dcterms:created>
  <dcterms:modified xsi:type="dcterms:W3CDTF">2024-11-11T19:11:29.8544522Z</dcterms:modified>
</coreProperties>
</file>