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8EB0"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672A6659"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CBD499B" w14:textId="6834EE33"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7538FE">
        <w:rPr>
          <w:rFonts w:ascii="Arial" w:hAnsi="Arial" w:cs="Arial"/>
          <w:b/>
        </w:rPr>
        <w:t xml:space="preserve">  </w:t>
      </w:r>
      <w:r w:rsidR="007538FE" w:rsidRPr="007538FE">
        <w:rPr>
          <w:rFonts w:ascii="Arial" w:hAnsi="Arial" w:cs="Arial"/>
        </w:rPr>
        <w:t>February 22, 2023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C10B61" w:rsidRPr="007538FE">
        <w:rPr>
          <w:rFonts w:ascii="Arial" w:hAnsi="Arial" w:cs="Arial"/>
        </w:rPr>
        <w:t xml:space="preserve"> </w:t>
      </w:r>
      <w:r w:rsidR="007538FE" w:rsidRPr="007538FE">
        <w:rPr>
          <w:rFonts w:ascii="Arial" w:hAnsi="Arial" w:cs="Arial"/>
        </w:rPr>
        <w:t>Counseling</w:t>
      </w:r>
      <w:r w:rsidR="00C10B61">
        <w:rPr>
          <w:rFonts w:ascii="Arial" w:hAnsi="Arial" w:cs="Arial"/>
          <w:b/>
        </w:rPr>
        <w:t xml:space="preserve">  </w:t>
      </w:r>
    </w:p>
    <w:p w14:paraId="0F3059EF" w14:textId="46D245B0"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7538FE">
        <w:rPr>
          <w:rFonts w:ascii="Arial" w:hAnsi="Arial" w:cs="Arial"/>
        </w:rPr>
        <w:t xml:space="preserve"> Terrence Brennan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hyperlink r:id="rId7" w:history="1">
        <w:r w:rsidR="007538FE" w:rsidRPr="00EE52A4">
          <w:rPr>
            <w:rStyle w:val="Hyperlink"/>
            <w:rFonts w:ascii="Arial" w:hAnsi="Arial" w:cs="Arial"/>
          </w:rPr>
          <w:t>tbrennan@collin.edu</w:t>
        </w:r>
      </w:hyperlink>
      <w:r w:rsidR="007538FE">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007538FE">
        <w:rPr>
          <w:rFonts w:ascii="Arial" w:hAnsi="Arial" w:cs="Arial"/>
        </w:rPr>
        <w:t>972.881.5604</w:t>
      </w:r>
    </w:p>
    <w:p w14:paraId="4908F373"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4400" w:type="dxa"/>
        <w:tblInd w:w="-688" w:type="dxa"/>
        <w:tblLayout w:type="fixed"/>
        <w:tblCellMar>
          <w:left w:w="0" w:type="dxa"/>
          <w:right w:w="0" w:type="dxa"/>
        </w:tblCellMar>
        <w:tblLook w:val="01E0" w:firstRow="1" w:lastRow="1" w:firstColumn="1" w:lastColumn="1" w:noHBand="0" w:noVBand="0"/>
      </w:tblPr>
      <w:tblGrid>
        <w:gridCol w:w="4818"/>
        <w:gridCol w:w="4782"/>
        <w:gridCol w:w="4800"/>
      </w:tblGrid>
      <w:tr w:rsidR="00413A84" w:rsidRPr="00413A84" w14:paraId="5758AADE" w14:textId="77777777" w:rsidTr="00F231C6">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66A1F44C" w14:textId="77777777" w:rsidR="00413A84" w:rsidRPr="00413A84" w:rsidRDefault="00413A84" w:rsidP="00F231C6">
            <w:pPr>
              <w:spacing w:after="0" w:line="242" w:lineRule="exact"/>
              <w:ind w:left="-45" w:right="240"/>
              <w:jc w:val="center"/>
              <w:rPr>
                <w:rFonts w:ascii="Arial" w:eastAsia="Calibri" w:hAnsi="Arial" w:cs="Arial"/>
              </w:rPr>
            </w:pPr>
            <w:r w:rsidRPr="00413A84">
              <w:rPr>
                <w:rFonts w:ascii="Arial" w:eastAsia="Calibri" w:hAnsi="Arial" w:cs="Arial"/>
                <w:b/>
                <w:bCs/>
                <w:spacing w:val="-1"/>
                <w:position w:val="1"/>
              </w:rPr>
              <w:t>A</w:t>
            </w:r>
            <w:r w:rsidRPr="00413A84">
              <w:rPr>
                <w:rFonts w:ascii="Arial" w:eastAsia="Calibri" w:hAnsi="Arial" w:cs="Arial"/>
                <w:b/>
                <w:bCs/>
                <w:position w:val="1"/>
              </w:rPr>
              <w:t>.</w:t>
            </w:r>
            <w:r w:rsidRPr="00413A84">
              <w:rPr>
                <w:rFonts w:ascii="Arial" w:eastAsia="Calibri" w:hAnsi="Arial" w:cs="Arial"/>
                <w:b/>
                <w:bCs/>
                <w:spacing w:val="-2"/>
                <w:position w:val="1"/>
              </w:rPr>
              <w:t xml:space="preserve"> Expected </w:t>
            </w:r>
            <w:r w:rsidRPr="00413A84">
              <w:rPr>
                <w:rFonts w:ascii="Arial" w:eastAsia="Calibri" w:hAnsi="Arial" w:cs="Arial"/>
                <w:b/>
                <w:bCs/>
                <w:w w:val="99"/>
                <w:position w:val="1"/>
              </w:rPr>
              <w:t>O</w:t>
            </w:r>
            <w:r w:rsidRPr="00413A84">
              <w:rPr>
                <w:rFonts w:ascii="Arial" w:eastAsia="Calibri" w:hAnsi="Arial" w:cs="Arial"/>
                <w:b/>
                <w:bCs/>
                <w:spacing w:val="1"/>
                <w:w w:val="99"/>
                <w:position w:val="1"/>
              </w:rPr>
              <w:t>u</w:t>
            </w:r>
            <w:r w:rsidRPr="00413A84">
              <w:rPr>
                <w:rFonts w:ascii="Arial" w:eastAsia="Calibri" w:hAnsi="Arial" w:cs="Arial"/>
                <w:b/>
                <w:bCs/>
                <w:w w:val="99"/>
                <w:position w:val="1"/>
              </w:rPr>
              <w:t>t</w:t>
            </w:r>
            <w:r w:rsidRPr="00413A84">
              <w:rPr>
                <w:rFonts w:ascii="Arial" w:eastAsia="Calibri" w:hAnsi="Arial" w:cs="Arial"/>
                <w:b/>
                <w:bCs/>
                <w:spacing w:val="1"/>
                <w:w w:val="99"/>
                <w:position w:val="1"/>
              </w:rPr>
              <w:t>comes</w:t>
            </w:r>
          </w:p>
          <w:p w14:paraId="566E8257" w14:textId="77777777" w:rsidR="00413A84" w:rsidRPr="00413A84" w:rsidRDefault="00413A84" w:rsidP="00F231C6">
            <w:pPr>
              <w:tabs>
                <w:tab w:val="left" w:pos="4391"/>
              </w:tabs>
              <w:spacing w:after="0" w:line="218" w:lineRule="exact"/>
              <w:ind w:left="251" w:right="670"/>
              <w:jc w:val="center"/>
              <w:rPr>
                <w:rFonts w:ascii="Arial" w:eastAsia="Calibri" w:hAnsi="Arial" w:cs="Arial"/>
                <w:w w:val="99"/>
              </w:rPr>
            </w:pPr>
            <w:r w:rsidRPr="00413A84">
              <w:rPr>
                <w:rFonts w:ascii="Arial" w:eastAsia="Calibri" w:hAnsi="Arial" w:cs="Arial"/>
                <w:spacing w:val="1"/>
              </w:rPr>
              <w:t>R</w:t>
            </w:r>
            <w:r w:rsidRPr="00413A84">
              <w:rPr>
                <w:rFonts w:ascii="Arial" w:eastAsia="Calibri" w:hAnsi="Arial" w:cs="Arial"/>
                <w:spacing w:val="-1"/>
              </w:rPr>
              <w:t>esu</w:t>
            </w:r>
            <w:r w:rsidRPr="00413A84">
              <w:rPr>
                <w:rFonts w:ascii="Arial" w:eastAsia="Calibri" w:hAnsi="Arial" w:cs="Arial"/>
              </w:rPr>
              <w:t xml:space="preserve">lts </w:t>
            </w:r>
            <w:r w:rsidRPr="00413A84">
              <w:rPr>
                <w:rFonts w:ascii="Arial" w:eastAsia="Calibri" w:hAnsi="Arial" w:cs="Arial"/>
                <w:spacing w:val="-1"/>
              </w:rPr>
              <w:t>e</w:t>
            </w:r>
            <w:r w:rsidRPr="00413A84">
              <w:rPr>
                <w:rFonts w:ascii="Arial" w:eastAsia="Calibri" w:hAnsi="Arial" w:cs="Arial"/>
                <w:spacing w:val="1"/>
              </w:rPr>
              <w:t>x</w:t>
            </w:r>
            <w:r w:rsidRPr="00413A84">
              <w:rPr>
                <w:rFonts w:ascii="Arial" w:eastAsia="Calibri" w:hAnsi="Arial" w:cs="Arial"/>
                <w:spacing w:val="-1"/>
              </w:rPr>
              <w:t>pe</w:t>
            </w:r>
            <w:r w:rsidRPr="00413A84">
              <w:rPr>
                <w:rFonts w:ascii="Arial" w:eastAsia="Calibri" w:hAnsi="Arial" w:cs="Arial"/>
                <w:spacing w:val="1"/>
              </w:rPr>
              <w:t>c</w:t>
            </w:r>
            <w:r w:rsidRPr="00413A84">
              <w:rPr>
                <w:rFonts w:ascii="Arial" w:eastAsia="Calibri" w:hAnsi="Arial" w:cs="Arial"/>
              </w:rPr>
              <w:t>t</w:t>
            </w:r>
            <w:r w:rsidRPr="00413A84">
              <w:rPr>
                <w:rFonts w:ascii="Arial" w:eastAsia="Calibri" w:hAnsi="Arial" w:cs="Arial"/>
                <w:spacing w:val="2"/>
              </w:rPr>
              <w:t>e</w:t>
            </w:r>
            <w:r w:rsidRPr="00413A84">
              <w:rPr>
                <w:rFonts w:ascii="Arial" w:eastAsia="Calibri" w:hAnsi="Arial" w:cs="Arial"/>
              </w:rPr>
              <w:t>d</w:t>
            </w:r>
            <w:r w:rsidRPr="00413A84">
              <w:rPr>
                <w:rFonts w:ascii="Arial" w:eastAsia="Calibri" w:hAnsi="Arial" w:cs="Arial"/>
                <w:spacing w:val="-5"/>
              </w:rPr>
              <w:t xml:space="preserve"> </w:t>
            </w:r>
            <w:r w:rsidRPr="00413A84">
              <w:rPr>
                <w:rFonts w:ascii="Arial" w:eastAsia="Calibri" w:hAnsi="Arial" w:cs="Arial"/>
              </w:rPr>
              <w:t>in</w:t>
            </w:r>
            <w:r w:rsidRPr="00413A84">
              <w:rPr>
                <w:rFonts w:ascii="Arial" w:eastAsia="Calibri" w:hAnsi="Arial" w:cs="Arial"/>
                <w:spacing w:val="-1"/>
              </w:rPr>
              <w:t xml:space="preserve"> </w:t>
            </w:r>
            <w:r w:rsidRPr="00413A84">
              <w:rPr>
                <w:rFonts w:ascii="Arial" w:eastAsia="Calibri" w:hAnsi="Arial" w:cs="Arial"/>
                <w:spacing w:val="2"/>
              </w:rPr>
              <w:t>t</w:t>
            </w:r>
            <w:r w:rsidRPr="00413A84">
              <w:rPr>
                <w:rFonts w:ascii="Arial" w:eastAsia="Calibri" w:hAnsi="Arial" w:cs="Arial"/>
                <w:spacing w:val="-1"/>
              </w:rPr>
              <w:t>h</w:t>
            </w:r>
            <w:r w:rsidRPr="00413A84">
              <w:rPr>
                <w:rFonts w:ascii="Arial" w:eastAsia="Calibri" w:hAnsi="Arial" w:cs="Arial"/>
              </w:rPr>
              <w:t>is</w:t>
            </w:r>
            <w:r w:rsidRPr="00413A84">
              <w:rPr>
                <w:rFonts w:ascii="Arial" w:eastAsia="Calibri" w:hAnsi="Arial" w:cs="Arial"/>
                <w:spacing w:val="-2"/>
              </w:rPr>
              <w:t xml:space="preserve"> unit</w:t>
            </w:r>
          </w:p>
          <w:p w14:paraId="711913F4" w14:textId="77777777" w:rsidR="00413A84" w:rsidRPr="00413A84" w:rsidRDefault="00413A84" w:rsidP="00F231C6">
            <w:pPr>
              <w:tabs>
                <w:tab w:val="left" w:pos="4391"/>
              </w:tabs>
              <w:spacing w:after="0" w:line="218" w:lineRule="exact"/>
              <w:ind w:left="251" w:right="670"/>
              <w:jc w:val="center"/>
              <w:rPr>
                <w:rFonts w:ascii="Arial" w:eastAsia="Calibri" w:hAnsi="Arial" w:cs="Arial"/>
              </w:rPr>
            </w:pPr>
            <w:r w:rsidRPr="00413A84">
              <w:rPr>
                <w:rFonts w:ascii="Arial" w:eastAsia="Calibri" w:hAnsi="Arial" w:cs="Arial"/>
                <w:w w:val="99"/>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5EBDB86E" w14:textId="77777777" w:rsidR="00413A84" w:rsidRPr="00413A84" w:rsidRDefault="00413A84" w:rsidP="00F231C6">
            <w:pPr>
              <w:spacing w:after="0" w:line="242" w:lineRule="exact"/>
              <w:ind w:left="1781" w:right="1759"/>
              <w:jc w:val="center"/>
              <w:rPr>
                <w:rFonts w:ascii="Arial" w:eastAsia="Calibri" w:hAnsi="Arial" w:cs="Arial"/>
                <w:b/>
                <w:bCs/>
                <w:w w:val="99"/>
                <w:position w:val="1"/>
              </w:rPr>
            </w:pPr>
            <w:r w:rsidRPr="00413A84">
              <w:rPr>
                <w:rFonts w:ascii="Arial" w:eastAsia="Calibri" w:hAnsi="Arial" w:cs="Arial"/>
                <w:b/>
                <w:bCs/>
                <w:spacing w:val="1"/>
                <w:position w:val="1"/>
              </w:rPr>
              <w:t>B</w:t>
            </w:r>
            <w:r w:rsidRPr="00413A84">
              <w:rPr>
                <w:rFonts w:ascii="Arial" w:eastAsia="Calibri" w:hAnsi="Arial" w:cs="Arial"/>
                <w:b/>
                <w:bCs/>
                <w:position w:val="1"/>
              </w:rPr>
              <w:t>.</w:t>
            </w:r>
            <w:r w:rsidRPr="00413A84">
              <w:rPr>
                <w:rFonts w:ascii="Arial" w:eastAsia="Calibri" w:hAnsi="Arial" w:cs="Arial"/>
                <w:b/>
                <w:bCs/>
                <w:spacing w:val="-2"/>
                <w:position w:val="1"/>
              </w:rPr>
              <w:t xml:space="preserve"> </w:t>
            </w:r>
            <w:r w:rsidRPr="00413A84">
              <w:rPr>
                <w:rFonts w:ascii="Arial" w:eastAsia="Calibri" w:hAnsi="Arial" w:cs="Arial"/>
                <w:b/>
                <w:bCs/>
                <w:spacing w:val="1"/>
                <w:w w:val="99"/>
                <w:position w:val="1"/>
              </w:rPr>
              <w:t>Me</w:t>
            </w:r>
            <w:r w:rsidRPr="00413A84">
              <w:rPr>
                <w:rFonts w:ascii="Arial" w:eastAsia="Calibri" w:hAnsi="Arial" w:cs="Arial"/>
                <w:b/>
                <w:bCs/>
                <w:w w:val="99"/>
                <w:position w:val="1"/>
              </w:rPr>
              <w:t>as</w:t>
            </w:r>
            <w:r w:rsidRPr="00413A84">
              <w:rPr>
                <w:rFonts w:ascii="Arial" w:eastAsia="Calibri" w:hAnsi="Arial" w:cs="Arial"/>
                <w:b/>
                <w:bCs/>
                <w:spacing w:val="1"/>
                <w:w w:val="99"/>
                <w:position w:val="1"/>
              </w:rPr>
              <w:t>ur</w:t>
            </w:r>
            <w:r w:rsidRPr="00413A84">
              <w:rPr>
                <w:rFonts w:ascii="Arial" w:eastAsia="Calibri" w:hAnsi="Arial" w:cs="Arial"/>
                <w:b/>
                <w:bCs/>
                <w:w w:val="99"/>
                <w:position w:val="1"/>
              </w:rPr>
              <w:t>es</w:t>
            </w:r>
          </w:p>
          <w:p w14:paraId="17E83A76" w14:textId="77777777" w:rsidR="00413A84" w:rsidRPr="00413A84" w:rsidRDefault="00413A84" w:rsidP="00F231C6">
            <w:pPr>
              <w:spacing w:after="0" w:line="218" w:lineRule="exact"/>
              <w:ind w:left="311" w:right="349"/>
              <w:jc w:val="center"/>
              <w:rPr>
                <w:rFonts w:ascii="Arial" w:eastAsia="Calibri" w:hAnsi="Arial" w:cs="Arial"/>
              </w:rPr>
            </w:pPr>
            <w:r w:rsidRPr="00413A84">
              <w:rPr>
                <w:rFonts w:ascii="Arial" w:eastAsia="Calibri" w:hAnsi="Arial" w:cs="Arial"/>
                <w:spacing w:val="-1"/>
              </w:rPr>
              <w:t>Ins</w:t>
            </w:r>
            <w:r w:rsidRPr="00413A84">
              <w:rPr>
                <w:rFonts w:ascii="Arial" w:eastAsia="Calibri" w:hAnsi="Arial" w:cs="Arial"/>
              </w:rPr>
              <w:t>t</w:t>
            </w:r>
            <w:r w:rsidRPr="00413A84">
              <w:rPr>
                <w:rFonts w:ascii="Arial" w:eastAsia="Calibri" w:hAnsi="Arial" w:cs="Arial"/>
                <w:spacing w:val="2"/>
              </w:rPr>
              <w:t>r</w:t>
            </w:r>
            <w:r w:rsidRPr="00413A84">
              <w:rPr>
                <w:rFonts w:ascii="Arial" w:eastAsia="Calibri" w:hAnsi="Arial" w:cs="Arial"/>
                <w:spacing w:val="-1"/>
              </w:rPr>
              <w:t>u</w:t>
            </w:r>
            <w:r w:rsidRPr="00413A84">
              <w:rPr>
                <w:rFonts w:ascii="Arial" w:eastAsia="Calibri" w:hAnsi="Arial" w:cs="Arial"/>
              </w:rPr>
              <w:t>m</w:t>
            </w:r>
            <w:r w:rsidRPr="00413A84">
              <w:rPr>
                <w:rFonts w:ascii="Arial" w:eastAsia="Calibri" w:hAnsi="Arial" w:cs="Arial"/>
                <w:spacing w:val="2"/>
              </w:rPr>
              <w:t>e</w:t>
            </w:r>
            <w:r w:rsidRPr="00413A84">
              <w:rPr>
                <w:rFonts w:ascii="Arial" w:eastAsia="Calibri" w:hAnsi="Arial" w:cs="Arial"/>
                <w:spacing w:val="-1"/>
              </w:rPr>
              <w:t>n</w:t>
            </w:r>
            <w:r w:rsidRPr="00413A84">
              <w:rPr>
                <w:rFonts w:ascii="Arial" w:eastAsia="Calibri" w:hAnsi="Arial" w:cs="Arial"/>
              </w:rPr>
              <w:t>t(s)/</w:t>
            </w:r>
            <w:r w:rsidRPr="00413A84">
              <w:rPr>
                <w:rFonts w:ascii="Arial" w:eastAsia="Calibri" w:hAnsi="Arial" w:cs="Arial"/>
                <w:spacing w:val="-1"/>
              </w:rPr>
              <w:t>p</w:t>
            </w:r>
            <w:r w:rsidRPr="00413A84">
              <w:rPr>
                <w:rFonts w:ascii="Arial" w:eastAsia="Calibri" w:hAnsi="Arial" w:cs="Arial"/>
              </w:rPr>
              <w:t>r</w:t>
            </w:r>
            <w:r w:rsidRPr="00413A84">
              <w:rPr>
                <w:rFonts w:ascii="Arial" w:eastAsia="Calibri" w:hAnsi="Arial" w:cs="Arial"/>
                <w:spacing w:val="1"/>
              </w:rPr>
              <w:t>oc</w:t>
            </w:r>
            <w:r w:rsidRPr="00413A84">
              <w:rPr>
                <w:rFonts w:ascii="Arial" w:eastAsia="Calibri" w:hAnsi="Arial" w:cs="Arial"/>
                <w:spacing w:val="-1"/>
              </w:rPr>
              <w:t>es</w:t>
            </w:r>
            <w:r w:rsidRPr="00413A84">
              <w:rPr>
                <w:rFonts w:ascii="Arial" w:eastAsia="Calibri" w:hAnsi="Arial" w:cs="Arial"/>
              </w:rPr>
              <w:t>s(es)</w:t>
            </w:r>
            <w:r w:rsidRPr="00413A84">
              <w:rPr>
                <w:rFonts w:ascii="Arial" w:eastAsia="Calibri" w:hAnsi="Arial" w:cs="Arial"/>
                <w:spacing w:val="-3"/>
              </w:rPr>
              <w:t xml:space="preserve"> </w:t>
            </w:r>
            <w:r w:rsidRPr="00413A84">
              <w:rPr>
                <w:rFonts w:ascii="Arial" w:eastAsia="Calibri" w:hAnsi="Arial" w:cs="Arial"/>
                <w:spacing w:val="1"/>
              </w:rPr>
              <w:t>u</w:t>
            </w:r>
            <w:r w:rsidRPr="00413A84">
              <w:rPr>
                <w:rFonts w:ascii="Arial" w:eastAsia="Calibri" w:hAnsi="Arial" w:cs="Arial"/>
                <w:spacing w:val="-1"/>
              </w:rPr>
              <w:t>s</w:t>
            </w:r>
            <w:r w:rsidRPr="00413A84">
              <w:rPr>
                <w:rFonts w:ascii="Arial" w:eastAsia="Calibri" w:hAnsi="Arial" w:cs="Arial"/>
                <w:spacing w:val="2"/>
              </w:rPr>
              <w:t>e</w:t>
            </w:r>
            <w:r w:rsidRPr="00413A84">
              <w:rPr>
                <w:rFonts w:ascii="Arial" w:eastAsia="Calibri" w:hAnsi="Arial" w:cs="Arial"/>
              </w:rPr>
              <w:t>d</w:t>
            </w:r>
            <w:r w:rsidRPr="00413A84">
              <w:rPr>
                <w:rFonts w:ascii="Arial" w:eastAsia="Calibri" w:hAnsi="Arial" w:cs="Arial"/>
                <w:spacing w:val="-3"/>
              </w:rPr>
              <w:t xml:space="preserve"> </w:t>
            </w:r>
            <w:r w:rsidRPr="00413A84">
              <w:rPr>
                <w:rFonts w:ascii="Arial" w:eastAsia="Calibri" w:hAnsi="Arial" w:cs="Arial"/>
                <w:spacing w:val="2"/>
              </w:rPr>
              <w:t>t</w:t>
            </w:r>
            <w:r w:rsidRPr="00413A84">
              <w:rPr>
                <w:rFonts w:ascii="Arial" w:eastAsia="Calibri" w:hAnsi="Arial" w:cs="Arial"/>
              </w:rPr>
              <w:t>o m</w:t>
            </w:r>
            <w:r w:rsidRPr="00413A84">
              <w:rPr>
                <w:rFonts w:ascii="Arial" w:eastAsia="Calibri" w:hAnsi="Arial" w:cs="Arial"/>
                <w:spacing w:val="-1"/>
              </w:rPr>
              <w:t>e</w:t>
            </w:r>
            <w:r w:rsidRPr="00413A84">
              <w:rPr>
                <w:rFonts w:ascii="Arial" w:eastAsia="Calibri" w:hAnsi="Arial" w:cs="Arial"/>
              </w:rPr>
              <w:t>a</w:t>
            </w:r>
            <w:r w:rsidRPr="00413A84">
              <w:rPr>
                <w:rFonts w:ascii="Arial" w:eastAsia="Calibri" w:hAnsi="Arial" w:cs="Arial"/>
                <w:spacing w:val="-1"/>
              </w:rPr>
              <w:t>su</w:t>
            </w:r>
            <w:r w:rsidRPr="00413A84">
              <w:rPr>
                <w:rFonts w:ascii="Arial" w:eastAsia="Calibri" w:hAnsi="Arial" w:cs="Arial"/>
                <w:w w:val="99"/>
              </w:rPr>
              <w:t>r</w:t>
            </w:r>
            <w:r w:rsidRPr="00413A84">
              <w:rPr>
                <w:rFonts w:ascii="Arial" w:eastAsia="Calibri" w:hAnsi="Arial" w:cs="Arial"/>
                <w:spacing w:val="2"/>
                <w:w w:val="99"/>
              </w:rPr>
              <w:t>e re</w:t>
            </w:r>
            <w:r w:rsidRPr="00413A84">
              <w:rPr>
                <w:rFonts w:ascii="Arial" w:eastAsia="Calibri" w:hAnsi="Arial" w:cs="Arial"/>
                <w:spacing w:val="-1"/>
              </w:rPr>
              <w:t>sul</w:t>
            </w:r>
            <w:r w:rsidRPr="00413A84">
              <w:rPr>
                <w:rFonts w:ascii="Arial" w:eastAsia="Calibri" w:hAnsi="Arial" w:cs="Arial"/>
                <w:spacing w:val="2"/>
                <w:w w:val="99"/>
              </w:rPr>
              <w:t>t</w:t>
            </w:r>
            <w:r w:rsidRPr="00413A84">
              <w:rPr>
                <w:rFonts w:ascii="Arial" w:eastAsia="Calibri" w:hAnsi="Arial" w:cs="Arial"/>
              </w:rPr>
              <w:t>s</w:t>
            </w:r>
          </w:p>
          <w:p w14:paraId="0E4531B0" w14:textId="77777777" w:rsidR="00413A84" w:rsidRPr="00413A84" w:rsidRDefault="00413A84" w:rsidP="00F231C6">
            <w:pPr>
              <w:spacing w:after="0" w:line="218" w:lineRule="exact"/>
              <w:ind w:left="311" w:right="349"/>
              <w:jc w:val="center"/>
              <w:rPr>
                <w:rFonts w:ascii="Arial" w:eastAsia="Calibri" w:hAnsi="Arial" w:cs="Arial"/>
              </w:rPr>
            </w:pPr>
            <w:r w:rsidRPr="00413A84">
              <w:rPr>
                <w:rFonts w:ascii="Arial" w:eastAsia="Calibri" w:hAnsi="Arial" w:cs="Arial"/>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42F7C919" w14:textId="77777777" w:rsidR="00413A84" w:rsidRPr="00413A84" w:rsidRDefault="00413A84" w:rsidP="00F231C6">
            <w:pPr>
              <w:spacing w:after="0" w:line="242" w:lineRule="exact"/>
              <w:ind w:left="166" w:right="16"/>
              <w:jc w:val="center"/>
              <w:rPr>
                <w:rFonts w:ascii="Arial" w:eastAsia="Calibri" w:hAnsi="Arial" w:cs="Arial"/>
              </w:rPr>
            </w:pPr>
            <w:r w:rsidRPr="00413A84">
              <w:rPr>
                <w:rFonts w:ascii="Arial" w:eastAsia="Calibri" w:hAnsi="Arial" w:cs="Arial"/>
                <w:b/>
                <w:bCs/>
                <w:position w:val="1"/>
              </w:rPr>
              <w:t>C.</w:t>
            </w:r>
            <w:r w:rsidRPr="00413A84">
              <w:rPr>
                <w:rFonts w:ascii="Arial" w:eastAsia="Calibri" w:hAnsi="Arial" w:cs="Arial"/>
                <w:b/>
                <w:bCs/>
                <w:spacing w:val="-2"/>
                <w:position w:val="1"/>
              </w:rPr>
              <w:t xml:space="preserve"> </w:t>
            </w:r>
            <w:r w:rsidRPr="00413A84">
              <w:rPr>
                <w:rFonts w:ascii="Arial" w:eastAsia="Calibri" w:hAnsi="Arial" w:cs="Arial"/>
                <w:b/>
                <w:bCs/>
                <w:w w:val="99"/>
                <w:position w:val="1"/>
              </w:rPr>
              <w:t>Ta</w:t>
            </w:r>
            <w:r w:rsidRPr="00413A84">
              <w:rPr>
                <w:rFonts w:ascii="Arial" w:eastAsia="Calibri" w:hAnsi="Arial" w:cs="Arial"/>
                <w:b/>
                <w:bCs/>
                <w:spacing w:val="1"/>
                <w:w w:val="99"/>
                <w:position w:val="1"/>
              </w:rPr>
              <w:t>r</w:t>
            </w:r>
            <w:r w:rsidRPr="00413A84">
              <w:rPr>
                <w:rFonts w:ascii="Arial" w:eastAsia="Calibri" w:hAnsi="Arial" w:cs="Arial"/>
                <w:b/>
                <w:bCs/>
                <w:spacing w:val="-1"/>
                <w:w w:val="99"/>
                <w:position w:val="1"/>
              </w:rPr>
              <w:t>g</w:t>
            </w:r>
            <w:r w:rsidRPr="00413A84">
              <w:rPr>
                <w:rFonts w:ascii="Arial" w:eastAsia="Calibri" w:hAnsi="Arial" w:cs="Arial"/>
                <w:b/>
                <w:bCs/>
                <w:spacing w:val="1"/>
                <w:w w:val="99"/>
                <w:position w:val="1"/>
              </w:rPr>
              <w:t>e</w:t>
            </w:r>
            <w:r w:rsidRPr="00413A84">
              <w:rPr>
                <w:rFonts w:ascii="Arial" w:eastAsia="Calibri" w:hAnsi="Arial" w:cs="Arial"/>
                <w:b/>
                <w:bCs/>
                <w:w w:val="99"/>
                <w:position w:val="1"/>
              </w:rPr>
              <w:t>ts</w:t>
            </w:r>
          </w:p>
          <w:p w14:paraId="261FE462" w14:textId="77777777" w:rsidR="00413A84" w:rsidRPr="00413A84" w:rsidRDefault="00413A84" w:rsidP="00F231C6">
            <w:pPr>
              <w:spacing w:after="0" w:line="218" w:lineRule="exact"/>
              <w:ind w:left="1091" w:right="1009"/>
              <w:jc w:val="center"/>
              <w:rPr>
                <w:rFonts w:ascii="Arial" w:eastAsia="Calibri" w:hAnsi="Arial" w:cs="Arial"/>
              </w:rPr>
            </w:pPr>
            <w:r w:rsidRPr="00413A84">
              <w:rPr>
                <w:rFonts w:ascii="Arial" w:eastAsia="Calibri" w:hAnsi="Arial" w:cs="Arial"/>
                <w:spacing w:val="-1"/>
              </w:rPr>
              <w:t>Le</w:t>
            </w:r>
            <w:r w:rsidRPr="00413A84">
              <w:rPr>
                <w:rFonts w:ascii="Arial" w:eastAsia="Calibri" w:hAnsi="Arial" w:cs="Arial"/>
              </w:rPr>
              <w:t>v</w:t>
            </w:r>
            <w:r w:rsidRPr="00413A84">
              <w:rPr>
                <w:rFonts w:ascii="Arial" w:eastAsia="Calibri" w:hAnsi="Arial" w:cs="Arial"/>
                <w:spacing w:val="-1"/>
              </w:rPr>
              <w:t>e</w:t>
            </w:r>
            <w:r w:rsidRPr="00413A84">
              <w:rPr>
                <w:rFonts w:ascii="Arial" w:eastAsia="Calibri" w:hAnsi="Arial" w:cs="Arial"/>
              </w:rPr>
              <w:t>l</w:t>
            </w:r>
            <w:r w:rsidRPr="00413A84">
              <w:rPr>
                <w:rFonts w:ascii="Arial" w:eastAsia="Calibri" w:hAnsi="Arial" w:cs="Arial"/>
                <w:spacing w:val="-3"/>
              </w:rPr>
              <w:t xml:space="preserve"> </w:t>
            </w:r>
            <w:r w:rsidRPr="00413A84">
              <w:rPr>
                <w:rFonts w:ascii="Arial" w:eastAsia="Calibri" w:hAnsi="Arial" w:cs="Arial"/>
                <w:spacing w:val="1"/>
              </w:rPr>
              <w:t>o</w:t>
            </w:r>
            <w:r w:rsidRPr="00413A84">
              <w:rPr>
                <w:rFonts w:ascii="Arial" w:eastAsia="Calibri" w:hAnsi="Arial" w:cs="Arial"/>
              </w:rPr>
              <w:t>f</w:t>
            </w:r>
            <w:r w:rsidRPr="00413A84">
              <w:rPr>
                <w:rFonts w:ascii="Arial" w:eastAsia="Calibri" w:hAnsi="Arial" w:cs="Arial"/>
                <w:spacing w:val="1"/>
              </w:rPr>
              <w:t xml:space="preserve"> </w:t>
            </w:r>
            <w:r w:rsidRPr="00413A84">
              <w:rPr>
                <w:rFonts w:ascii="Arial" w:eastAsia="Calibri" w:hAnsi="Arial" w:cs="Arial"/>
                <w:spacing w:val="-1"/>
              </w:rPr>
              <w:t>su</w:t>
            </w:r>
            <w:r w:rsidRPr="00413A84">
              <w:rPr>
                <w:rFonts w:ascii="Arial" w:eastAsia="Calibri" w:hAnsi="Arial" w:cs="Arial"/>
                <w:spacing w:val="1"/>
              </w:rPr>
              <w:t>cc</w:t>
            </w:r>
            <w:r w:rsidRPr="00413A84">
              <w:rPr>
                <w:rFonts w:ascii="Arial" w:eastAsia="Calibri" w:hAnsi="Arial" w:cs="Arial"/>
                <w:spacing w:val="-1"/>
              </w:rPr>
              <w:t>e</w:t>
            </w:r>
            <w:r w:rsidRPr="00413A84">
              <w:rPr>
                <w:rFonts w:ascii="Arial" w:eastAsia="Calibri" w:hAnsi="Arial" w:cs="Arial"/>
                <w:spacing w:val="2"/>
              </w:rPr>
              <w:t>s</w:t>
            </w:r>
            <w:r w:rsidRPr="00413A84">
              <w:rPr>
                <w:rFonts w:ascii="Arial" w:eastAsia="Calibri" w:hAnsi="Arial" w:cs="Arial"/>
              </w:rPr>
              <w:t>s</w:t>
            </w:r>
            <w:r w:rsidRPr="00413A84">
              <w:rPr>
                <w:rFonts w:ascii="Arial" w:eastAsia="Calibri" w:hAnsi="Arial" w:cs="Arial"/>
                <w:spacing w:val="-3"/>
              </w:rPr>
              <w:t xml:space="preserve"> </w:t>
            </w:r>
            <w:r w:rsidRPr="00413A84">
              <w:rPr>
                <w:rFonts w:ascii="Arial" w:eastAsia="Calibri" w:hAnsi="Arial" w:cs="Arial"/>
                <w:spacing w:val="-1"/>
                <w:w w:val="99"/>
              </w:rPr>
              <w:t>e</w:t>
            </w:r>
            <w:r w:rsidRPr="00413A84">
              <w:rPr>
                <w:rFonts w:ascii="Arial" w:eastAsia="Calibri" w:hAnsi="Arial" w:cs="Arial"/>
                <w:spacing w:val="1"/>
              </w:rPr>
              <w:t>x</w:t>
            </w:r>
            <w:r w:rsidRPr="00413A84">
              <w:rPr>
                <w:rFonts w:ascii="Arial" w:eastAsia="Calibri" w:hAnsi="Arial" w:cs="Arial"/>
                <w:spacing w:val="-1"/>
              </w:rPr>
              <w:t>p</w:t>
            </w:r>
            <w:r w:rsidRPr="00413A84">
              <w:rPr>
                <w:rFonts w:ascii="Arial" w:eastAsia="Calibri" w:hAnsi="Arial" w:cs="Arial"/>
                <w:spacing w:val="-1"/>
                <w:w w:val="99"/>
              </w:rPr>
              <w:t>e</w:t>
            </w:r>
            <w:r w:rsidRPr="00413A84">
              <w:rPr>
                <w:rFonts w:ascii="Arial" w:eastAsia="Calibri" w:hAnsi="Arial" w:cs="Arial"/>
                <w:spacing w:val="1"/>
                <w:w w:val="99"/>
              </w:rPr>
              <w:t>c</w:t>
            </w:r>
            <w:r w:rsidRPr="00413A84">
              <w:rPr>
                <w:rFonts w:ascii="Arial" w:eastAsia="Calibri" w:hAnsi="Arial" w:cs="Arial"/>
                <w:w w:val="99"/>
              </w:rPr>
              <w:t>t</w:t>
            </w:r>
            <w:r w:rsidRPr="00413A84">
              <w:rPr>
                <w:rFonts w:ascii="Arial" w:eastAsia="Calibri" w:hAnsi="Arial" w:cs="Arial"/>
                <w:spacing w:val="2"/>
                <w:w w:val="99"/>
              </w:rPr>
              <w:t>e</w:t>
            </w:r>
            <w:r w:rsidRPr="00413A84">
              <w:rPr>
                <w:rFonts w:ascii="Arial" w:eastAsia="Calibri" w:hAnsi="Arial" w:cs="Arial"/>
              </w:rPr>
              <w:t>d</w:t>
            </w:r>
          </w:p>
          <w:p w14:paraId="17E38ADF" w14:textId="77777777" w:rsidR="00413A84" w:rsidRPr="00413A84" w:rsidRDefault="00413A84" w:rsidP="00F231C6">
            <w:pPr>
              <w:spacing w:after="0" w:line="218" w:lineRule="exact"/>
              <w:ind w:left="1091" w:right="1009"/>
              <w:jc w:val="center"/>
              <w:rPr>
                <w:rFonts w:ascii="Arial" w:eastAsia="Calibri" w:hAnsi="Arial" w:cs="Arial"/>
              </w:rPr>
            </w:pPr>
            <w:r w:rsidRPr="00413A84">
              <w:rPr>
                <w:rFonts w:ascii="Arial" w:eastAsia="Calibri" w:hAnsi="Arial" w:cs="Arial"/>
              </w:rPr>
              <w:t xml:space="preserve">(e.g. 80% approval rating, </w:t>
            </w:r>
            <w:proofErr w:type="gramStart"/>
            <w:r w:rsidRPr="00413A84">
              <w:rPr>
                <w:rFonts w:ascii="Arial" w:eastAsia="Calibri" w:hAnsi="Arial" w:cs="Arial"/>
              </w:rPr>
              <w:t>10 day</w:t>
            </w:r>
            <w:proofErr w:type="gramEnd"/>
            <w:r w:rsidRPr="00413A84">
              <w:rPr>
                <w:rFonts w:ascii="Arial" w:eastAsia="Calibri" w:hAnsi="Arial" w:cs="Arial"/>
              </w:rPr>
              <w:t xml:space="preserve"> faster request turn-around time, etc.)</w:t>
            </w:r>
          </w:p>
        </w:tc>
      </w:tr>
      <w:tr w:rsidR="00413A84" w:rsidRPr="00413A84" w14:paraId="3ED53DAF" w14:textId="77777777" w:rsidTr="00F231C6">
        <w:trPr>
          <w:trHeight w:hRule="exact" w:val="1842"/>
        </w:trPr>
        <w:tc>
          <w:tcPr>
            <w:tcW w:w="4818"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0A37501D" w14:textId="77777777" w:rsidR="00413A84" w:rsidRPr="00413A84" w:rsidRDefault="00413A84" w:rsidP="00F231C6">
            <w:pPr>
              <w:spacing w:before="9" w:after="0" w:line="200" w:lineRule="exact"/>
              <w:rPr>
                <w:rFonts w:ascii="Arial" w:hAnsi="Arial" w:cs="Arial"/>
              </w:rPr>
            </w:pPr>
          </w:p>
          <w:p w14:paraId="56D5E808" w14:textId="77777777" w:rsidR="00413A84" w:rsidRPr="00413A84" w:rsidRDefault="00413A84" w:rsidP="00F231C6">
            <w:pPr>
              <w:spacing w:after="0" w:line="240" w:lineRule="auto"/>
              <w:ind w:left="97" w:right="-20"/>
              <w:rPr>
                <w:rFonts w:ascii="Arial" w:eastAsia="Franklin Gothic Book" w:hAnsi="Arial" w:cs="Arial"/>
              </w:rPr>
            </w:pPr>
            <w:r w:rsidRPr="00413A84">
              <w:rPr>
                <w:rFonts w:ascii="Arial" w:eastAsia="Franklin Gothic Book" w:hAnsi="Arial" w:cs="Arial"/>
              </w:rPr>
              <w:t>Increased student awareness of Counseling and Mental Health Services at Collin College</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5DAB6C7B" w14:textId="77777777" w:rsidR="00413A84" w:rsidRPr="00413A84" w:rsidRDefault="00413A84" w:rsidP="00F231C6">
            <w:pPr>
              <w:spacing w:before="9" w:after="0" w:line="200" w:lineRule="exact"/>
              <w:rPr>
                <w:rFonts w:ascii="Arial" w:hAnsi="Arial" w:cs="Arial"/>
              </w:rPr>
            </w:pPr>
          </w:p>
          <w:p w14:paraId="2116793B" w14:textId="77777777" w:rsidR="00413A84" w:rsidRPr="00413A84" w:rsidRDefault="00413A84" w:rsidP="00F231C6">
            <w:pPr>
              <w:spacing w:after="0" w:line="240" w:lineRule="auto"/>
              <w:ind w:right="-20"/>
              <w:rPr>
                <w:rFonts w:ascii="Arial" w:eastAsia="Franklin Gothic Book" w:hAnsi="Arial" w:cs="Arial"/>
              </w:rPr>
            </w:pPr>
            <w:r w:rsidRPr="00413A84">
              <w:rPr>
                <w:rFonts w:ascii="Arial" w:eastAsia="Franklin Gothic Book" w:hAnsi="Arial" w:cs="Arial"/>
              </w:rPr>
              <w:t>The Drug Awareness and Perception Survey asks students if they are aware of Counseling Services at Collin College as a resource. In 2018, this survey indicated that 64% of the 456 students surveyed said they were aware.</w:t>
            </w:r>
          </w:p>
        </w:tc>
        <w:tc>
          <w:tcPr>
            <w:tcW w:w="4800" w:type="dxa"/>
            <w:tcBorders>
              <w:top w:val="single" w:sz="24" w:space="0" w:color="4F81BD"/>
              <w:left w:val="single" w:sz="8" w:space="0" w:color="4F81BD"/>
              <w:bottom w:val="single" w:sz="8" w:space="0" w:color="4F81BD"/>
              <w:right w:val="single" w:sz="18" w:space="0" w:color="4F81BD"/>
            </w:tcBorders>
            <w:shd w:val="clear" w:color="auto" w:fill="DEEAF6" w:themeFill="accent1" w:themeFillTint="33"/>
          </w:tcPr>
          <w:p w14:paraId="02EB378F" w14:textId="77777777" w:rsidR="00413A84" w:rsidRPr="00413A84" w:rsidRDefault="00413A84" w:rsidP="00F231C6">
            <w:pPr>
              <w:spacing w:before="9" w:after="0" w:line="200" w:lineRule="exact"/>
              <w:rPr>
                <w:rFonts w:ascii="Arial" w:hAnsi="Arial" w:cs="Arial"/>
              </w:rPr>
            </w:pPr>
          </w:p>
          <w:p w14:paraId="303D6476" w14:textId="77777777" w:rsidR="00413A84" w:rsidRPr="00413A84" w:rsidRDefault="00413A84" w:rsidP="00F231C6">
            <w:pPr>
              <w:spacing w:after="0" w:line="240" w:lineRule="auto"/>
              <w:ind w:left="253" w:right="380"/>
              <w:rPr>
                <w:rFonts w:ascii="Arial" w:eastAsia="Franklin Gothic Book" w:hAnsi="Arial" w:cs="Arial"/>
              </w:rPr>
            </w:pPr>
            <w:r w:rsidRPr="00413A84">
              <w:rPr>
                <w:rFonts w:ascii="Arial" w:eastAsia="Franklin Gothic Book" w:hAnsi="Arial" w:cs="Arial"/>
              </w:rPr>
              <w:t xml:space="preserve">5% increase of awareness as reported in the drug awareness and perception survey and department surveys. </w:t>
            </w:r>
          </w:p>
        </w:tc>
      </w:tr>
      <w:tr w:rsidR="00413A84" w:rsidRPr="00413A84" w14:paraId="1AA2B738" w14:textId="77777777" w:rsidTr="00F231C6">
        <w:trPr>
          <w:trHeight w:hRule="exact" w:val="1577"/>
        </w:trPr>
        <w:tc>
          <w:tcPr>
            <w:tcW w:w="4818" w:type="dxa"/>
            <w:tcBorders>
              <w:top w:val="single" w:sz="8" w:space="0" w:color="4F81BD"/>
              <w:left w:val="single" w:sz="8" w:space="0" w:color="4F81BD"/>
              <w:bottom w:val="single" w:sz="8" w:space="0" w:color="4F81BD"/>
              <w:right w:val="single" w:sz="8" w:space="0" w:color="4F81BD"/>
            </w:tcBorders>
          </w:tcPr>
          <w:p w14:paraId="6A05A809" w14:textId="77777777" w:rsidR="00413A84" w:rsidRPr="00413A84" w:rsidRDefault="00413A84" w:rsidP="00F231C6">
            <w:pPr>
              <w:spacing w:before="9" w:after="0" w:line="200" w:lineRule="exact"/>
              <w:rPr>
                <w:rFonts w:ascii="Arial" w:hAnsi="Arial" w:cs="Arial"/>
              </w:rPr>
            </w:pPr>
          </w:p>
          <w:p w14:paraId="02B63FB5" w14:textId="77777777" w:rsidR="00413A84" w:rsidRPr="00413A84" w:rsidRDefault="00413A84" w:rsidP="00F231C6">
            <w:pPr>
              <w:spacing w:after="0" w:line="240" w:lineRule="auto"/>
              <w:ind w:left="97" w:right="-20"/>
              <w:rPr>
                <w:rFonts w:ascii="Arial" w:eastAsia="Franklin Gothic Book" w:hAnsi="Arial" w:cs="Arial"/>
              </w:rPr>
            </w:pPr>
            <w:r w:rsidRPr="00413A84">
              <w:rPr>
                <w:rFonts w:ascii="Arial" w:eastAsia="Franklin Gothic Book" w:hAnsi="Arial" w:cs="Arial"/>
              </w:rPr>
              <w:t xml:space="preserve">Enhanced knowledge, skills and ability of counselors in the area of crisis response. </w:t>
            </w:r>
          </w:p>
        </w:tc>
        <w:tc>
          <w:tcPr>
            <w:tcW w:w="4782" w:type="dxa"/>
            <w:tcBorders>
              <w:top w:val="single" w:sz="8" w:space="0" w:color="4F81BD"/>
              <w:left w:val="single" w:sz="8" w:space="0" w:color="4F81BD"/>
              <w:bottom w:val="single" w:sz="8" w:space="0" w:color="4F81BD"/>
              <w:right w:val="single" w:sz="8" w:space="0" w:color="4F81BD"/>
            </w:tcBorders>
          </w:tcPr>
          <w:p w14:paraId="5A39BBE3" w14:textId="77777777" w:rsidR="00413A84" w:rsidRPr="00413A84" w:rsidRDefault="00413A84" w:rsidP="00F231C6">
            <w:pPr>
              <w:spacing w:before="9" w:after="0" w:line="200" w:lineRule="exact"/>
              <w:rPr>
                <w:rFonts w:ascii="Arial" w:hAnsi="Arial" w:cs="Arial"/>
              </w:rPr>
            </w:pPr>
          </w:p>
          <w:p w14:paraId="345A393F" w14:textId="77777777" w:rsidR="00413A84" w:rsidRPr="00413A84" w:rsidRDefault="00413A84" w:rsidP="00F231C6">
            <w:pPr>
              <w:spacing w:after="0" w:line="240" w:lineRule="auto"/>
              <w:ind w:left="97" w:right="-20"/>
              <w:rPr>
                <w:rFonts w:ascii="Arial" w:eastAsia="Franklin Gothic Book" w:hAnsi="Arial" w:cs="Arial"/>
              </w:rPr>
            </w:pPr>
            <w:r w:rsidRPr="00413A84">
              <w:rPr>
                <w:rFonts w:ascii="Arial" w:eastAsia="Franklin Gothic Book" w:hAnsi="Arial" w:cs="Arial"/>
              </w:rPr>
              <w:t>This will be measured with certificates of completion.</w:t>
            </w:r>
          </w:p>
        </w:tc>
        <w:tc>
          <w:tcPr>
            <w:tcW w:w="4800" w:type="dxa"/>
            <w:tcBorders>
              <w:top w:val="single" w:sz="8" w:space="0" w:color="4F81BD"/>
              <w:left w:val="single" w:sz="8" w:space="0" w:color="4F81BD"/>
              <w:bottom w:val="single" w:sz="8" w:space="0" w:color="4F81BD"/>
              <w:right w:val="single" w:sz="18" w:space="0" w:color="4F81BD"/>
            </w:tcBorders>
          </w:tcPr>
          <w:p w14:paraId="41C8F396" w14:textId="77777777" w:rsidR="00413A84" w:rsidRPr="00413A84" w:rsidRDefault="00413A84" w:rsidP="00F231C6">
            <w:pPr>
              <w:spacing w:before="9" w:after="0" w:line="200" w:lineRule="exact"/>
              <w:rPr>
                <w:rFonts w:ascii="Arial" w:hAnsi="Arial" w:cs="Arial"/>
              </w:rPr>
            </w:pPr>
          </w:p>
          <w:p w14:paraId="577265D6" w14:textId="77777777" w:rsidR="00413A84" w:rsidRPr="00413A84" w:rsidRDefault="00413A84" w:rsidP="00F231C6">
            <w:pPr>
              <w:spacing w:after="0" w:line="240" w:lineRule="auto"/>
              <w:ind w:left="253" w:right="380"/>
              <w:rPr>
                <w:rFonts w:ascii="Arial" w:eastAsia="Franklin Gothic Book" w:hAnsi="Arial" w:cs="Arial"/>
              </w:rPr>
            </w:pPr>
            <w:r w:rsidRPr="00413A84">
              <w:rPr>
                <w:rFonts w:ascii="Arial" w:eastAsia="Franklin Gothic Book" w:hAnsi="Arial" w:cs="Arial"/>
              </w:rPr>
              <w:t>100% of counselors will complete crisis counseling training related to both in person and virtual counseling.</w:t>
            </w:r>
          </w:p>
        </w:tc>
      </w:tr>
      <w:tr w:rsidR="00413A84" w:rsidRPr="00413A84" w14:paraId="2DAF7510" w14:textId="77777777" w:rsidTr="00F231C6">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2A3D3EC" w14:textId="77777777" w:rsidR="00413A84" w:rsidRPr="00413A84" w:rsidRDefault="00413A84" w:rsidP="00F231C6">
            <w:pPr>
              <w:spacing w:before="9" w:after="0" w:line="200" w:lineRule="exact"/>
              <w:rPr>
                <w:rFonts w:ascii="Arial" w:hAnsi="Arial" w:cs="Arial"/>
              </w:rPr>
            </w:pPr>
          </w:p>
          <w:p w14:paraId="482F702D" w14:textId="77777777" w:rsidR="00413A84" w:rsidRPr="00413A84" w:rsidRDefault="00413A84" w:rsidP="00F231C6">
            <w:pPr>
              <w:spacing w:before="9" w:after="0" w:line="200" w:lineRule="exact"/>
              <w:rPr>
                <w:rFonts w:ascii="Arial" w:hAnsi="Arial" w:cs="Arial"/>
              </w:rPr>
            </w:pPr>
            <w:r w:rsidRPr="00413A84">
              <w:rPr>
                <w:rFonts w:ascii="Arial" w:hAnsi="Arial" w:cs="Arial"/>
              </w:rPr>
              <w:t xml:space="preserve">Data to include crisis response data and utilize the Client Load Index to inform procedures. </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33C78B8" w14:textId="77777777" w:rsidR="00413A84" w:rsidRPr="00413A84" w:rsidRDefault="00413A84" w:rsidP="00F231C6">
            <w:pPr>
              <w:spacing w:before="9" w:after="0" w:line="200" w:lineRule="exact"/>
              <w:rPr>
                <w:rFonts w:ascii="Arial" w:hAnsi="Arial" w:cs="Arial"/>
              </w:rPr>
            </w:pPr>
            <w:r w:rsidRPr="00413A84">
              <w:rPr>
                <w:rFonts w:ascii="Arial" w:hAnsi="Arial" w:cs="Arial"/>
              </w:rPr>
              <w:t xml:space="preserve">Department Survey and Titanium (Counseling Services case management and scheduling system). </w:t>
            </w:r>
          </w:p>
        </w:tc>
        <w:tc>
          <w:tcPr>
            <w:tcW w:w="4800" w:type="dxa"/>
            <w:tcBorders>
              <w:top w:val="single" w:sz="8" w:space="0" w:color="4F81BD"/>
              <w:left w:val="single" w:sz="8" w:space="0" w:color="4F81BD"/>
              <w:bottom w:val="single" w:sz="8" w:space="0" w:color="4F81BD"/>
              <w:right w:val="single" w:sz="18" w:space="0" w:color="4F81BD"/>
            </w:tcBorders>
            <w:shd w:val="clear" w:color="auto" w:fill="DEEAF6" w:themeFill="accent1" w:themeFillTint="33"/>
          </w:tcPr>
          <w:p w14:paraId="7F69CECE" w14:textId="77777777" w:rsidR="00413A84" w:rsidRPr="00413A84" w:rsidRDefault="00413A84" w:rsidP="00F231C6">
            <w:pPr>
              <w:spacing w:before="9" w:after="0" w:line="200" w:lineRule="exact"/>
              <w:ind w:left="253"/>
              <w:rPr>
                <w:rFonts w:ascii="Arial" w:hAnsi="Arial" w:cs="Arial"/>
              </w:rPr>
            </w:pPr>
            <w:r w:rsidRPr="00413A84">
              <w:rPr>
                <w:rFonts w:ascii="Arial" w:hAnsi="Arial" w:cs="Arial"/>
              </w:rPr>
              <w:t xml:space="preserve">Accessibility to quantitative and qualitative data specific to Counseling Services. Data to include crisis statistics. </w:t>
            </w:r>
          </w:p>
        </w:tc>
      </w:tr>
    </w:tbl>
    <w:p w14:paraId="0D0B940D" w14:textId="77777777" w:rsidR="00F547BD" w:rsidRDefault="00F547BD" w:rsidP="00517E19">
      <w:pPr>
        <w:pStyle w:val="NoSpacing"/>
        <w:rPr>
          <w:rFonts w:ascii="Arial" w:hAnsi="Arial" w:cs="Arial"/>
          <w:b/>
          <w:bCs/>
          <w:spacing w:val="-1"/>
          <w:position w:val="1"/>
        </w:rPr>
      </w:pPr>
    </w:p>
    <w:p w14:paraId="3F8721AF"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88BBD0F"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02D6ACA9"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35FD1185"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lastRenderedPageBreak/>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065282A2"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77BAFED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42A18EF5"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D1ED562"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1AE73DE0"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0E27B00A" w14:textId="77777777" w:rsidR="001A7A83" w:rsidRDefault="001A7A83" w:rsidP="00F25D44">
      <w:pPr>
        <w:pStyle w:val="NoSpacing"/>
        <w:rPr>
          <w:rFonts w:ascii="Arial" w:hAnsi="Arial" w:cs="Arial"/>
          <w:b/>
          <w:color w:val="5B9BD5" w:themeColor="accent1"/>
          <w:sz w:val="24"/>
          <w:szCs w:val="24"/>
        </w:rPr>
      </w:pPr>
    </w:p>
    <w:p w14:paraId="44EAFD9C" w14:textId="77777777" w:rsidR="001A7A83" w:rsidRDefault="001A7A83" w:rsidP="00F25D44">
      <w:pPr>
        <w:pStyle w:val="NoSpacing"/>
        <w:rPr>
          <w:rFonts w:ascii="Arial" w:hAnsi="Arial" w:cs="Arial"/>
          <w:b/>
          <w:color w:val="5B9BD5" w:themeColor="accent1"/>
          <w:sz w:val="24"/>
          <w:szCs w:val="24"/>
        </w:rPr>
      </w:pPr>
    </w:p>
    <w:p w14:paraId="2EDFAB2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4B94D5A5"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6475A37A" w14:textId="77777777" w:rsidTr="6FCA759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D014182"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34FD5886" w14:textId="77777777" w:rsidR="00F9197F" w:rsidRPr="00210107" w:rsidRDefault="00A96E68" w:rsidP="00F9197F">
            <w:pPr>
              <w:pStyle w:val="NoSpacing"/>
              <w:rPr>
                <w:rFonts w:ascii="Arial" w:hAnsi="Arial" w:cs="Arial"/>
                <w:sz w:val="20"/>
                <w:szCs w:val="20"/>
              </w:rPr>
            </w:pPr>
            <w:r w:rsidRPr="00871FEA">
              <w:rPr>
                <w:rFonts w:ascii="Times New Roman" w:hAnsi="Times New Roman" w:cs="Times New Roman"/>
                <w:sz w:val="24"/>
                <w:szCs w:val="24"/>
              </w:rPr>
              <w:t>5% increase in student awareness of Counseling Services.</w:t>
            </w:r>
          </w:p>
        </w:tc>
      </w:tr>
      <w:tr w:rsidR="00F9197F" w:rsidRPr="00210107" w14:paraId="271B7577" w14:textId="77777777" w:rsidTr="6FCA7594">
        <w:trPr>
          <w:trHeight w:val="951"/>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D3ABF0"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2A768212" w14:textId="77777777" w:rsidR="00F9197F" w:rsidRPr="00210107" w:rsidRDefault="00A96E68" w:rsidP="00F9197F">
            <w:pPr>
              <w:pStyle w:val="NoSpacing"/>
              <w:rPr>
                <w:rFonts w:ascii="Arial" w:hAnsi="Arial" w:cs="Arial"/>
                <w:sz w:val="20"/>
                <w:szCs w:val="20"/>
              </w:rPr>
            </w:pPr>
            <w:r w:rsidRPr="00871FEA">
              <w:rPr>
                <w:rFonts w:ascii="Times New Roman" w:hAnsi="Times New Roman" w:cs="Times New Roman"/>
                <w:sz w:val="24"/>
                <w:szCs w:val="24"/>
              </w:rPr>
              <w:t>The Drug Awareness and Perception Survey and department surveys.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79B0A4"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31CECDB3" w14:textId="77777777" w:rsidR="00F9197F" w:rsidRPr="00210107" w:rsidRDefault="00A96E68" w:rsidP="00F9197F">
            <w:pPr>
              <w:pStyle w:val="NoSpacing"/>
              <w:rPr>
                <w:rFonts w:ascii="Arial" w:hAnsi="Arial" w:cs="Arial"/>
                <w:sz w:val="20"/>
                <w:szCs w:val="20"/>
              </w:rPr>
            </w:pPr>
            <w:r w:rsidRPr="00871FEA">
              <w:rPr>
                <w:rFonts w:ascii="Times New Roman" w:hAnsi="Times New Roman" w:cs="Times New Roman"/>
                <w:sz w:val="24"/>
                <w:szCs w:val="24"/>
              </w:rPr>
              <w:t xml:space="preserve">Increase Counseling Services Awareness to 69% according to the </w:t>
            </w:r>
            <w:r w:rsidRPr="007538FE">
              <w:rPr>
                <w:rFonts w:ascii="Times New Roman" w:hAnsi="Times New Roman" w:cs="Times New Roman"/>
                <w:sz w:val="24"/>
                <w:szCs w:val="24"/>
              </w:rPr>
              <w:t>Drug Awareness and Perception Survey.</w:t>
            </w:r>
          </w:p>
        </w:tc>
      </w:tr>
      <w:tr w:rsidR="004C7267" w:rsidRPr="00210107" w14:paraId="6F32A777" w14:textId="77777777" w:rsidTr="6FCA7594">
        <w:trPr>
          <w:trHeight w:val="123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0E1BFB8"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179CF763" w14:textId="77777777" w:rsidR="004C7267" w:rsidRPr="00210107" w:rsidRDefault="00A96E68" w:rsidP="00F9197F">
            <w:pPr>
              <w:pStyle w:val="NoSpacing"/>
              <w:rPr>
                <w:rFonts w:ascii="Arial" w:hAnsi="Arial" w:cs="Arial"/>
                <w:b/>
                <w:sz w:val="20"/>
                <w:szCs w:val="20"/>
              </w:rPr>
            </w:pPr>
            <w:r w:rsidRPr="00871FEA">
              <w:rPr>
                <w:rFonts w:ascii="Times New Roman" w:hAnsi="Times New Roman" w:cs="Times New Roman"/>
                <w:sz w:val="24"/>
                <w:szCs w:val="24"/>
              </w:rPr>
              <w:t>Continue to utilize the counselor class visits each semester to educate students about the mental health resources available to them. Also, create videos and other creative tools to market to students taking classes virtually. Continue monitoring data regarding effective marketing to inform marketing focus.</w:t>
            </w:r>
          </w:p>
        </w:tc>
      </w:tr>
      <w:tr w:rsidR="00A53228" w:rsidRPr="00210107" w14:paraId="58559B74"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7AC36A" w14:textId="77777777" w:rsidR="00A53228" w:rsidRPr="00210107" w:rsidRDefault="00A53228" w:rsidP="00746F2D">
            <w:pPr>
              <w:pStyle w:val="NoSpacing"/>
              <w:numPr>
                <w:ilvl w:val="0"/>
                <w:numId w:val="1"/>
              </w:numPr>
              <w:rPr>
                <w:rFonts w:ascii="Arial" w:hAnsi="Arial" w:cs="Arial"/>
                <w:b/>
                <w:sz w:val="20"/>
                <w:szCs w:val="20"/>
              </w:rPr>
            </w:pPr>
            <w:r w:rsidRPr="6FCA7594">
              <w:rPr>
                <w:rFonts w:ascii="Arial" w:hAnsi="Arial" w:cs="Arial"/>
                <w:b/>
                <w:bCs/>
                <w:sz w:val="20"/>
                <w:szCs w:val="20"/>
              </w:rPr>
              <w:t>Results Summary (Outcome #1)</w:t>
            </w:r>
          </w:p>
          <w:p w14:paraId="48DC9159" w14:textId="4FC8C3E4" w:rsidR="00F9197F" w:rsidRPr="00210107" w:rsidRDefault="58983984" w:rsidP="00F17DBD">
            <w:pPr>
              <w:spacing w:after="160" w:line="259" w:lineRule="auto"/>
              <w:rPr>
                <w:rFonts w:ascii="Arial" w:hAnsi="Arial" w:cs="Arial"/>
                <w:b/>
                <w:bCs/>
                <w:color w:val="FF0000"/>
                <w:sz w:val="20"/>
                <w:szCs w:val="20"/>
                <w:highlight w:val="yellow"/>
              </w:rPr>
            </w:pPr>
            <w:r w:rsidRPr="007538FE">
              <w:rPr>
                <w:rFonts w:ascii="Times New Roman" w:eastAsia="Calibri" w:hAnsi="Times New Roman" w:cs="Times New Roman"/>
                <w:color w:val="000000" w:themeColor="text1"/>
                <w:sz w:val="24"/>
                <w:szCs w:val="24"/>
              </w:rPr>
              <w:t xml:space="preserve">Based on the 2020 Drug &amp; </w:t>
            </w:r>
            <w:r w:rsidR="00B86650" w:rsidRPr="007538FE">
              <w:rPr>
                <w:rFonts w:ascii="Times New Roman" w:eastAsia="Calibri" w:hAnsi="Times New Roman" w:cs="Times New Roman"/>
                <w:color w:val="000000" w:themeColor="text1"/>
                <w:sz w:val="24"/>
                <w:szCs w:val="24"/>
              </w:rPr>
              <w:t>Alcohol</w:t>
            </w:r>
            <w:r w:rsidRPr="007538FE">
              <w:rPr>
                <w:rFonts w:ascii="Times New Roman" w:eastAsia="Calibri" w:hAnsi="Times New Roman" w:cs="Times New Roman"/>
                <w:color w:val="000000" w:themeColor="text1"/>
                <w:sz w:val="24"/>
                <w:szCs w:val="24"/>
              </w:rPr>
              <w:t xml:space="preserve"> survey sent to the Collin College student body</w:t>
            </w:r>
            <w:r w:rsidR="007538FE" w:rsidRPr="007538FE">
              <w:rPr>
                <w:rFonts w:ascii="Times New Roman" w:eastAsia="Calibri" w:hAnsi="Times New Roman" w:cs="Times New Roman"/>
                <w:color w:val="000000" w:themeColor="text1"/>
                <w:sz w:val="24"/>
                <w:szCs w:val="24"/>
              </w:rPr>
              <w:t>,</w:t>
            </w:r>
            <w:r w:rsidRPr="007538FE">
              <w:rPr>
                <w:rFonts w:ascii="Times New Roman" w:eastAsia="Calibri" w:hAnsi="Times New Roman" w:cs="Times New Roman"/>
                <w:color w:val="000000" w:themeColor="text1"/>
                <w:sz w:val="24"/>
                <w:szCs w:val="24"/>
              </w:rPr>
              <w:t xml:space="preserve"> counseling services reported an increase in awareness of over 10%.</w:t>
            </w:r>
            <w:r w:rsidR="007538FE">
              <w:rPr>
                <w:rFonts w:ascii="Times New Roman" w:eastAsia="Calibri" w:hAnsi="Times New Roman" w:cs="Times New Roman"/>
                <w:color w:val="000000" w:themeColor="text1"/>
                <w:sz w:val="24"/>
                <w:szCs w:val="24"/>
              </w:rPr>
              <w:t xml:space="preserve"> The target outcome was met.</w:t>
            </w:r>
          </w:p>
        </w:tc>
      </w:tr>
      <w:tr w:rsidR="00A53228" w:rsidRPr="00210107" w14:paraId="6621FCF5"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A8E4DF" w14:textId="77777777" w:rsidR="00A53228" w:rsidRPr="00210107" w:rsidRDefault="00A53228" w:rsidP="00746F2D">
            <w:pPr>
              <w:pStyle w:val="NoSpacing"/>
              <w:numPr>
                <w:ilvl w:val="0"/>
                <w:numId w:val="1"/>
              </w:numPr>
              <w:rPr>
                <w:rFonts w:ascii="Arial" w:hAnsi="Arial" w:cs="Arial"/>
                <w:b/>
                <w:sz w:val="20"/>
                <w:szCs w:val="20"/>
              </w:rPr>
            </w:pPr>
            <w:r w:rsidRPr="6FCA7594">
              <w:rPr>
                <w:rFonts w:ascii="Arial" w:hAnsi="Arial" w:cs="Arial"/>
                <w:b/>
                <w:bCs/>
                <w:sz w:val="20"/>
                <w:szCs w:val="20"/>
              </w:rPr>
              <w:t>Findings (Outcome #1)</w:t>
            </w:r>
          </w:p>
          <w:p w14:paraId="48BABF89" w14:textId="640FE615" w:rsidR="00F17DBD" w:rsidRDefault="35B17844" w:rsidP="6FCA7594">
            <w:pPr>
              <w:spacing w:after="160" w:line="259" w:lineRule="auto"/>
              <w:rPr>
                <w:rFonts w:ascii="Times New Roman" w:eastAsia="Calibri" w:hAnsi="Times New Roman" w:cs="Times New Roman"/>
                <w:color w:val="000000" w:themeColor="text1"/>
                <w:sz w:val="24"/>
                <w:szCs w:val="24"/>
              </w:rPr>
            </w:pPr>
            <w:r w:rsidRPr="007538FE">
              <w:rPr>
                <w:rFonts w:ascii="Times New Roman" w:eastAsia="Calibri" w:hAnsi="Times New Roman" w:cs="Times New Roman"/>
                <w:color w:val="000000" w:themeColor="text1"/>
                <w:sz w:val="24"/>
                <w:szCs w:val="24"/>
              </w:rPr>
              <w:t>Respondents’ awareness and use of various resources/activities offered by Collin increased in 2020 when compared to 2018. There was an increase in the awareness of</w:t>
            </w:r>
            <w:r w:rsidR="00F17DBD">
              <w:rPr>
                <w:rFonts w:ascii="Times New Roman" w:eastAsia="Calibri" w:hAnsi="Times New Roman" w:cs="Times New Roman"/>
                <w:color w:val="000000" w:themeColor="text1"/>
                <w:sz w:val="24"/>
                <w:szCs w:val="24"/>
              </w:rPr>
              <w:t>:</w:t>
            </w:r>
          </w:p>
          <w:tbl>
            <w:tblPr>
              <w:tblStyle w:val="TableGrid"/>
              <w:tblW w:w="0" w:type="auto"/>
              <w:tblLayout w:type="fixed"/>
              <w:tblLook w:val="04A0" w:firstRow="1" w:lastRow="0" w:firstColumn="1" w:lastColumn="0" w:noHBand="0" w:noVBand="1"/>
            </w:tblPr>
            <w:tblGrid>
              <w:gridCol w:w="6460"/>
              <w:gridCol w:w="1260"/>
              <w:gridCol w:w="1080"/>
            </w:tblGrid>
            <w:tr w:rsidR="00F17DBD" w14:paraId="29275AD6" w14:textId="77777777" w:rsidTr="00F17DBD">
              <w:tc>
                <w:tcPr>
                  <w:tcW w:w="6460" w:type="dxa"/>
                </w:tcPr>
                <w:p w14:paraId="367C8BCF" w14:textId="57FB4AC6"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Service</w:t>
                  </w:r>
                </w:p>
              </w:tc>
              <w:tc>
                <w:tcPr>
                  <w:tcW w:w="1260" w:type="dxa"/>
                </w:tcPr>
                <w:p w14:paraId="630C5DF6" w14:textId="66C12B59"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2018</w:t>
                  </w:r>
                </w:p>
              </w:tc>
              <w:tc>
                <w:tcPr>
                  <w:tcW w:w="1080" w:type="dxa"/>
                </w:tcPr>
                <w:p w14:paraId="6C7D976E" w14:textId="361CFFE3"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2020</w:t>
                  </w:r>
                </w:p>
              </w:tc>
            </w:tr>
            <w:tr w:rsidR="00F17DBD" w14:paraId="3C8D9711" w14:textId="77777777" w:rsidTr="00F17DBD">
              <w:tc>
                <w:tcPr>
                  <w:tcW w:w="6460" w:type="dxa"/>
                </w:tcPr>
                <w:p w14:paraId="65D49197" w14:textId="25D15059" w:rsidR="00F17DBD" w:rsidRPr="00F17DBD" w:rsidRDefault="00F17DBD" w:rsidP="6FCA7594">
                  <w:pPr>
                    <w:spacing w:after="160" w:line="259" w:lineRule="auto"/>
                    <w:rPr>
                      <w:rFonts w:ascii="Times New Roman" w:eastAsia="Calibri" w:hAnsi="Times New Roman" w:cs="Times New Roman"/>
                      <w:b/>
                      <w:color w:val="000000" w:themeColor="text1"/>
                      <w:sz w:val="24"/>
                      <w:szCs w:val="24"/>
                    </w:rPr>
                  </w:pPr>
                  <w:r w:rsidRPr="00F17DBD">
                    <w:rPr>
                      <w:rFonts w:ascii="Times New Roman" w:eastAsia="Calibri" w:hAnsi="Times New Roman" w:cs="Times New Roman"/>
                      <w:b/>
                      <w:color w:val="000000" w:themeColor="text1"/>
                      <w:sz w:val="24"/>
                      <w:szCs w:val="24"/>
                    </w:rPr>
                    <w:t>Counseling &amp; Resources</w:t>
                  </w:r>
                </w:p>
              </w:tc>
              <w:tc>
                <w:tcPr>
                  <w:tcW w:w="1260" w:type="dxa"/>
                </w:tcPr>
                <w:p w14:paraId="26E2437F" w14:textId="2AB14C07"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64%</w:t>
                  </w:r>
                </w:p>
              </w:tc>
              <w:tc>
                <w:tcPr>
                  <w:tcW w:w="1080" w:type="dxa"/>
                </w:tcPr>
                <w:p w14:paraId="5144195B" w14:textId="7D9453F6"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74%</w:t>
                  </w:r>
                </w:p>
              </w:tc>
            </w:tr>
            <w:tr w:rsidR="00F17DBD" w14:paraId="0EB60203" w14:textId="77777777" w:rsidTr="00F17DBD">
              <w:tc>
                <w:tcPr>
                  <w:tcW w:w="6460" w:type="dxa"/>
                </w:tcPr>
                <w:p w14:paraId="1EE94D4E" w14:textId="7AB5D290" w:rsidR="00F17DBD" w:rsidRPr="00F17DBD" w:rsidRDefault="00F17DBD" w:rsidP="6FCA7594">
                  <w:pPr>
                    <w:spacing w:after="160" w:line="259" w:lineRule="auto"/>
                    <w:rPr>
                      <w:rFonts w:ascii="Times New Roman" w:eastAsia="Calibri" w:hAnsi="Times New Roman" w:cs="Times New Roman"/>
                      <w:b/>
                      <w:color w:val="000000" w:themeColor="text1"/>
                      <w:sz w:val="24"/>
                      <w:szCs w:val="24"/>
                    </w:rPr>
                  </w:pPr>
                  <w:r w:rsidRPr="00F17DBD">
                    <w:rPr>
                      <w:rFonts w:ascii="Times New Roman" w:eastAsia="Calibri" w:hAnsi="Times New Roman" w:cs="Times New Roman"/>
                      <w:b/>
                      <w:color w:val="000000" w:themeColor="text1"/>
                      <w:sz w:val="24"/>
                      <w:szCs w:val="24"/>
                    </w:rPr>
                    <w:t>Online screening for mental health/substance abuse</w:t>
                  </w:r>
                </w:p>
              </w:tc>
              <w:tc>
                <w:tcPr>
                  <w:tcW w:w="1260" w:type="dxa"/>
                </w:tcPr>
                <w:p w14:paraId="774772EA" w14:textId="4D49D155"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c>
                <w:tcPr>
                  <w:tcW w:w="1080" w:type="dxa"/>
                </w:tcPr>
                <w:p w14:paraId="0B106316" w14:textId="74DC9171"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39%</w:t>
                  </w:r>
                </w:p>
              </w:tc>
            </w:tr>
            <w:tr w:rsidR="00F17DBD" w14:paraId="4F76E099" w14:textId="77777777" w:rsidTr="00F17DBD">
              <w:tc>
                <w:tcPr>
                  <w:tcW w:w="6460" w:type="dxa"/>
                </w:tcPr>
                <w:p w14:paraId="529A69D8" w14:textId="34ACEF1E" w:rsidR="00F17DBD" w:rsidRPr="00F17DBD" w:rsidRDefault="00F17DBD" w:rsidP="6FCA7594">
                  <w:pPr>
                    <w:spacing w:after="160" w:line="259" w:lineRule="auto"/>
                    <w:rPr>
                      <w:rFonts w:ascii="Times New Roman" w:eastAsia="Calibri" w:hAnsi="Times New Roman" w:cs="Times New Roman"/>
                      <w:b/>
                      <w:color w:val="000000" w:themeColor="text1"/>
                      <w:sz w:val="24"/>
                      <w:szCs w:val="24"/>
                    </w:rPr>
                  </w:pPr>
                  <w:r w:rsidRPr="00F17DBD">
                    <w:rPr>
                      <w:rFonts w:ascii="Times New Roman" w:eastAsia="Calibri" w:hAnsi="Times New Roman" w:cs="Times New Roman"/>
                      <w:b/>
                      <w:color w:val="000000" w:themeColor="text1"/>
                      <w:sz w:val="24"/>
                      <w:szCs w:val="24"/>
                    </w:rPr>
                    <w:t>Campus Well</w:t>
                  </w:r>
                  <w:bookmarkStart w:id="0" w:name="_GoBack"/>
                  <w:bookmarkEnd w:id="0"/>
                </w:p>
              </w:tc>
              <w:tc>
                <w:tcPr>
                  <w:tcW w:w="1260" w:type="dxa"/>
                </w:tcPr>
                <w:p w14:paraId="08DB554B" w14:textId="35A05995"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w:t>
                  </w:r>
                </w:p>
              </w:tc>
              <w:tc>
                <w:tcPr>
                  <w:tcW w:w="1080" w:type="dxa"/>
                </w:tcPr>
                <w:p w14:paraId="6163DF35" w14:textId="56881A2F" w:rsidR="00F17DBD" w:rsidRDefault="00F17DBD" w:rsidP="6FCA7594">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45%</w:t>
                  </w:r>
                </w:p>
              </w:tc>
            </w:tr>
          </w:tbl>
          <w:p w14:paraId="0C83774A" w14:textId="4947209B" w:rsidR="00F17DBD" w:rsidRDefault="00F17DBD" w:rsidP="6FCA7594">
            <w:pPr>
              <w:spacing w:after="160" w:line="259" w:lineRule="auto"/>
              <w:rPr>
                <w:rFonts w:ascii="Times New Roman" w:eastAsia="Calibri" w:hAnsi="Times New Roman" w:cs="Times New Roman"/>
                <w:color w:val="000000" w:themeColor="text1"/>
                <w:sz w:val="24"/>
                <w:szCs w:val="24"/>
              </w:rPr>
            </w:pPr>
          </w:p>
          <w:p w14:paraId="6587A4BD" w14:textId="38F6ADAB" w:rsidR="00F9197F" w:rsidRPr="007538FE" w:rsidRDefault="35B17844" w:rsidP="6FCA7594">
            <w:pPr>
              <w:spacing w:after="160" w:line="259" w:lineRule="auto"/>
              <w:rPr>
                <w:rFonts w:ascii="Times New Roman" w:eastAsia="Calibri" w:hAnsi="Times New Roman" w:cs="Times New Roman"/>
                <w:color w:val="000000" w:themeColor="text1"/>
                <w:sz w:val="24"/>
                <w:szCs w:val="24"/>
              </w:rPr>
            </w:pPr>
            <w:r w:rsidRPr="007538FE">
              <w:rPr>
                <w:rFonts w:ascii="Times New Roman" w:eastAsia="Calibri" w:hAnsi="Times New Roman" w:cs="Times New Roman"/>
                <w:color w:val="000000" w:themeColor="text1"/>
                <w:sz w:val="24"/>
                <w:szCs w:val="24"/>
              </w:rPr>
              <w:lastRenderedPageBreak/>
              <w:t>Respondents who were not aware of any resources declined from 25% in 2018 to 17% in 2020. Not only did the awareness increase</w:t>
            </w:r>
            <w:r w:rsidR="007538FE">
              <w:rPr>
                <w:rFonts w:ascii="Times New Roman" w:eastAsia="Calibri" w:hAnsi="Times New Roman" w:cs="Times New Roman"/>
                <w:color w:val="000000" w:themeColor="text1"/>
                <w:sz w:val="24"/>
                <w:szCs w:val="24"/>
              </w:rPr>
              <w:t>,</w:t>
            </w:r>
            <w:r w:rsidRPr="007538FE">
              <w:rPr>
                <w:rFonts w:ascii="Times New Roman" w:eastAsia="Calibri" w:hAnsi="Times New Roman" w:cs="Times New Roman"/>
                <w:color w:val="000000" w:themeColor="text1"/>
                <w:sz w:val="24"/>
                <w:szCs w:val="24"/>
              </w:rPr>
              <w:t xml:space="preserve"> but </w:t>
            </w:r>
            <w:r w:rsidR="007538FE">
              <w:rPr>
                <w:rFonts w:ascii="Times New Roman" w:eastAsia="Calibri" w:hAnsi="Times New Roman" w:cs="Times New Roman"/>
                <w:color w:val="000000" w:themeColor="text1"/>
                <w:sz w:val="24"/>
                <w:szCs w:val="24"/>
              </w:rPr>
              <w:t xml:space="preserve">also </w:t>
            </w:r>
            <w:r w:rsidRPr="007538FE">
              <w:rPr>
                <w:rFonts w:ascii="Times New Roman" w:eastAsia="Calibri" w:hAnsi="Times New Roman" w:cs="Times New Roman"/>
                <w:color w:val="000000" w:themeColor="text1"/>
                <w:sz w:val="24"/>
                <w:szCs w:val="24"/>
              </w:rPr>
              <w:t>the use of all resources/activities increased in 2020 compared to 2018. The highest increase was noted for “Know Now” (11%) followed by “Referral Information” (7%) and “Educational Materials” (7%).</w:t>
            </w:r>
          </w:p>
          <w:p w14:paraId="20CEC310" w14:textId="63A55E69" w:rsidR="00F9197F" w:rsidRPr="007538FE" w:rsidRDefault="35B17844" w:rsidP="6FCA7594">
            <w:pPr>
              <w:spacing w:after="160" w:line="259" w:lineRule="auto"/>
              <w:rPr>
                <w:rFonts w:ascii="Times New Roman" w:eastAsia="Calibri" w:hAnsi="Times New Roman" w:cs="Times New Roman"/>
                <w:color w:val="000000" w:themeColor="text1"/>
                <w:sz w:val="24"/>
                <w:szCs w:val="24"/>
              </w:rPr>
            </w:pPr>
            <w:r w:rsidRPr="007538FE">
              <w:rPr>
                <w:rFonts w:ascii="Times New Roman" w:eastAsia="Calibri" w:hAnsi="Times New Roman" w:cs="Times New Roman"/>
                <w:color w:val="000000" w:themeColor="text1"/>
                <w:sz w:val="24"/>
                <w:szCs w:val="24"/>
              </w:rPr>
              <w:t>It appears the programming and marketing contributed to the 10% increase in awareness of counseling resources.</w:t>
            </w:r>
          </w:p>
          <w:p w14:paraId="619AE62C" w14:textId="406F230C" w:rsidR="00F9197F" w:rsidRPr="00210107" w:rsidRDefault="00F9197F" w:rsidP="6FCA7594">
            <w:pPr>
              <w:pStyle w:val="NoSpacing"/>
              <w:rPr>
                <w:rFonts w:ascii="Arial" w:hAnsi="Arial" w:cs="Arial"/>
                <w:b/>
                <w:bCs/>
                <w:color w:val="FF0000"/>
                <w:sz w:val="20"/>
                <w:szCs w:val="20"/>
                <w:highlight w:val="yellow"/>
              </w:rPr>
            </w:pPr>
          </w:p>
        </w:tc>
      </w:tr>
      <w:tr w:rsidR="00746F2D" w:rsidRPr="00210107" w14:paraId="32757305"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3A347D8" w14:textId="360E9596" w:rsidR="00413A84" w:rsidRPr="00210107" w:rsidRDefault="00746F2D" w:rsidP="6FCA7594">
            <w:pPr>
              <w:pStyle w:val="NoSpacing"/>
              <w:numPr>
                <w:ilvl w:val="0"/>
                <w:numId w:val="1"/>
              </w:numPr>
              <w:rPr>
                <w:rFonts w:ascii="Arial" w:eastAsia="Arial" w:hAnsi="Arial" w:cs="Arial"/>
                <w:sz w:val="20"/>
                <w:szCs w:val="20"/>
              </w:rPr>
            </w:pPr>
            <w:r w:rsidRPr="6FCA7594">
              <w:rPr>
                <w:rFonts w:ascii="Arial" w:hAnsi="Arial" w:cs="Arial"/>
                <w:b/>
                <w:bCs/>
                <w:sz w:val="20"/>
                <w:szCs w:val="20"/>
              </w:rPr>
              <w:lastRenderedPageBreak/>
              <w:t xml:space="preserve">Implementation </w:t>
            </w:r>
            <w:r w:rsidR="005D66CF" w:rsidRPr="6FCA7594">
              <w:rPr>
                <w:rFonts w:ascii="Arial" w:hAnsi="Arial" w:cs="Arial"/>
                <w:b/>
                <w:bCs/>
                <w:sz w:val="20"/>
                <w:szCs w:val="20"/>
              </w:rPr>
              <w:t>of Findings</w:t>
            </w:r>
          </w:p>
          <w:p w14:paraId="51ED892A" w14:textId="5ACD3209" w:rsidR="00413A84" w:rsidRPr="007538FE" w:rsidRDefault="4A72C1EF" w:rsidP="6FCA7594">
            <w:pPr>
              <w:pStyle w:val="NoSpacing"/>
              <w:rPr>
                <w:rFonts w:ascii="Times New Roman" w:eastAsia="Arial" w:hAnsi="Times New Roman" w:cs="Times New Roman"/>
                <w:sz w:val="24"/>
                <w:szCs w:val="24"/>
              </w:rPr>
            </w:pPr>
            <w:r w:rsidRPr="007538FE">
              <w:rPr>
                <w:rFonts w:ascii="Times New Roman" w:eastAsia="Calibri" w:hAnsi="Times New Roman" w:cs="Times New Roman"/>
                <w:color w:val="000000" w:themeColor="text1"/>
                <w:sz w:val="24"/>
                <w:szCs w:val="24"/>
              </w:rPr>
              <w:t>The Counseling department will continue  to explore outreach through social media, additional programing and targeted marketing to faculty.</w:t>
            </w:r>
          </w:p>
          <w:p w14:paraId="1085906A" w14:textId="274CE744" w:rsidR="00413A84" w:rsidRPr="00210107" w:rsidRDefault="00413A84" w:rsidP="6FCA7594">
            <w:pPr>
              <w:pStyle w:val="NoSpacing"/>
              <w:rPr>
                <w:rFonts w:ascii="Arial" w:hAnsi="Arial" w:cs="Arial"/>
                <w:b/>
                <w:bCs/>
                <w:color w:val="FF0000"/>
                <w:sz w:val="20"/>
                <w:szCs w:val="20"/>
                <w:highlight w:val="yellow"/>
              </w:rPr>
            </w:pPr>
          </w:p>
        </w:tc>
      </w:tr>
    </w:tbl>
    <w:p w14:paraId="3DEEC669"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592004FB" w14:textId="77777777" w:rsidTr="6FCA759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F0C929"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3BE357E" w14:textId="77777777" w:rsidR="00BE7B86" w:rsidRPr="00210107" w:rsidRDefault="00CC5376" w:rsidP="00A22D6B">
            <w:pPr>
              <w:pStyle w:val="NoSpacing"/>
              <w:rPr>
                <w:rFonts w:ascii="Arial" w:hAnsi="Arial" w:cs="Arial"/>
                <w:sz w:val="20"/>
                <w:szCs w:val="20"/>
              </w:rPr>
            </w:pPr>
            <w:r w:rsidRPr="00871FEA">
              <w:rPr>
                <w:rFonts w:ascii="Times New Roman" w:hAnsi="Times New Roman" w:cs="Times New Roman"/>
                <w:sz w:val="24"/>
                <w:szCs w:val="24"/>
              </w:rPr>
              <w:t>Expand knowledge skills and abilities of counselors in crisis response.</w:t>
            </w:r>
          </w:p>
        </w:tc>
      </w:tr>
      <w:tr w:rsidR="00BE7B86" w:rsidRPr="00210107" w14:paraId="59594F5B" w14:textId="77777777" w:rsidTr="6FCA7594">
        <w:trPr>
          <w:trHeight w:val="969"/>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03315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1E28A96" w14:textId="0F8CA417" w:rsidR="00BE7B86" w:rsidRPr="00210107" w:rsidRDefault="00CC5376" w:rsidP="00A22D6B">
            <w:pPr>
              <w:pStyle w:val="NoSpacing"/>
              <w:rPr>
                <w:rFonts w:ascii="Arial" w:hAnsi="Arial" w:cs="Arial"/>
                <w:sz w:val="20"/>
                <w:szCs w:val="20"/>
              </w:rPr>
            </w:pPr>
            <w:r w:rsidRPr="00871FEA">
              <w:rPr>
                <w:rFonts w:ascii="Times New Roman" w:hAnsi="Times New Roman" w:cs="Times New Roman"/>
                <w:sz w:val="24"/>
                <w:szCs w:val="24"/>
              </w:rPr>
              <w:t xml:space="preserve">This will be measured by the </w:t>
            </w:r>
            <w:r w:rsidRPr="008C316E">
              <w:rPr>
                <w:rFonts w:ascii="Times New Roman" w:hAnsi="Times New Roman" w:cs="Times New Roman"/>
                <w:sz w:val="24"/>
                <w:szCs w:val="24"/>
              </w:rPr>
              <w:t>counselor’s</w:t>
            </w:r>
            <w:r w:rsidR="00B86650" w:rsidRPr="008C316E">
              <w:rPr>
                <w:rFonts w:ascii="Times New Roman" w:hAnsi="Times New Roman" w:cs="Times New Roman"/>
                <w:sz w:val="24"/>
                <w:szCs w:val="24"/>
              </w:rPr>
              <w:t xml:space="preserve"> completion of telehealth crises management training (via certification course)</w:t>
            </w:r>
            <w:r w:rsidR="008C316E" w:rsidRPr="008C316E">
              <w:rPr>
                <w:rFonts w:ascii="Times New Roman" w:hAnsi="Times New Roman" w:cs="Times New Roman"/>
                <w:sz w:val="24"/>
                <w:szCs w:val="24"/>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086BFD"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1A797FA1" w14:textId="77777777" w:rsidR="00BE7B86" w:rsidRPr="00210107" w:rsidRDefault="00CC5376" w:rsidP="00A22D6B">
            <w:pPr>
              <w:pStyle w:val="NoSpacing"/>
              <w:rPr>
                <w:rFonts w:ascii="Arial" w:hAnsi="Arial" w:cs="Arial"/>
                <w:sz w:val="20"/>
                <w:szCs w:val="20"/>
              </w:rPr>
            </w:pPr>
            <w:r w:rsidRPr="00871FEA">
              <w:rPr>
                <w:rFonts w:ascii="Times New Roman" w:hAnsi="Times New Roman" w:cs="Times New Roman"/>
                <w:sz w:val="24"/>
                <w:szCs w:val="24"/>
              </w:rPr>
              <w:t>100% of counselors are further trained in crisis response. This training should include virtual/remote crisis response.</w:t>
            </w:r>
          </w:p>
        </w:tc>
      </w:tr>
      <w:tr w:rsidR="004C7267" w:rsidRPr="00210107" w14:paraId="7AEE4DFF" w14:textId="77777777" w:rsidTr="6FCA759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142AFC"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56554C3" w14:textId="77777777" w:rsidR="00CC5376" w:rsidRPr="00210107" w:rsidRDefault="00CC5376" w:rsidP="00CC5376">
            <w:pPr>
              <w:pStyle w:val="NoSpacing"/>
              <w:rPr>
                <w:rFonts w:ascii="Arial" w:hAnsi="Arial" w:cs="Arial"/>
                <w:b/>
                <w:sz w:val="20"/>
                <w:szCs w:val="20"/>
              </w:rPr>
            </w:pPr>
            <w:r w:rsidRPr="00871FEA">
              <w:rPr>
                <w:rFonts w:ascii="Times New Roman" w:hAnsi="Times New Roman" w:cs="Times New Roman"/>
                <w:sz w:val="24"/>
                <w:szCs w:val="24"/>
              </w:rPr>
              <w:t>Research professional development for counselors that includes virtual counseling crisis response. Counselors will complete the training.</w:t>
            </w:r>
          </w:p>
        </w:tc>
      </w:tr>
      <w:tr w:rsidR="00BE7B86" w:rsidRPr="00210107" w14:paraId="3F024D7C"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EE562D" w14:textId="77777777" w:rsidR="00BE7B86" w:rsidRPr="00210107" w:rsidRDefault="00BE7B86" w:rsidP="005D66CF">
            <w:pPr>
              <w:pStyle w:val="NoSpacing"/>
              <w:numPr>
                <w:ilvl w:val="0"/>
                <w:numId w:val="2"/>
              </w:numPr>
              <w:rPr>
                <w:rFonts w:ascii="Arial" w:hAnsi="Arial" w:cs="Arial"/>
                <w:b/>
                <w:sz w:val="20"/>
                <w:szCs w:val="20"/>
              </w:rPr>
            </w:pPr>
            <w:r w:rsidRPr="6FCA7594">
              <w:rPr>
                <w:rFonts w:ascii="Arial" w:hAnsi="Arial" w:cs="Arial"/>
                <w:b/>
                <w:bCs/>
                <w:sz w:val="20"/>
                <w:szCs w:val="20"/>
              </w:rPr>
              <w:t>Results Summary (Outcome #2)</w:t>
            </w:r>
          </w:p>
          <w:p w14:paraId="6D61B0A7" w14:textId="3683FBCD" w:rsidR="00BE7B86" w:rsidRPr="007538FE" w:rsidRDefault="18301982" w:rsidP="6FCA7594">
            <w:pPr>
              <w:spacing w:after="160" w:line="259" w:lineRule="auto"/>
              <w:rPr>
                <w:rFonts w:ascii="Times New Roman" w:eastAsia="Arial" w:hAnsi="Times New Roman" w:cs="Times New Roman"/>
                <w:sz w:val="24"/>
                <w:szCs w:val="24"/>
              </w:rPr>
            </w:pPr>
            <w:r w:rsidRPr="007538FE">
              <w:rPr>
                <w:rFonts w:ascii="Times New Roman" w:eastAsia="Calibri" w:hAnsi="Times New Roman" w:cs="Times New Roman"/>
                <w:color w:val="000000" w:themeColor="text1"/>
                <w:sz w:val="24"/>
                <w:szCs w:val="24"/>
              </w:rPr>
              <w:t>100% of Licensed Professional staff completed a mandatory online training, Telehealth: Crisis Management with High Risk Clients</w:t>
            </w:r>
          </w:p>
          <w:p w14:paraId="01F4C91C" w14:textId="03BC5E0D" w:rsidR="00BE7B86" w:rsidRPr="00210107" w:rsidRDefault="00BE7B86" w:rsidP="6FCA7594">
            <w:pPr>
              <w:pStyle w:val="NoSpacing"/>
              <w:rPr>
                <w:rFonts w:ascii="Arial" w:hAnsi="Arial" w:cs="Arial"/>
                <w:b/>
                <w:bCs/>
                <w:color w:val="FF0000"/>
                <w:sz w:val="20"/>
                <w:szCs w:val="20"/>
                <w:highlight w:val="yellow"/>
              </w:rPr>
            </w:pPr>
          </w:p>
        </w:tc>
      </w:tr>
      <w:tr w:rsidR="00C76636" w:rsidRPr="00210107" w14:paraId="07A05671"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C157F6" w14:textId="77777777" w:rsidR="00C76636" w:rsidRPr="00B86650" w:rsidRDefault="00C76636" w:rsidP="0000023D">
            <w:pPr>
              <w:pStyle w:val="NoSpacing"/>
              <w:numPr>
                <w:ilvl w:val="0"/>
                <w:numId w:val="2"/>
              </w:numPr>
              <w:rPr>
                <w:rFonts w:ascii="Arial" w:hAnsi="Arial" w:cs="Arial"/>
                <w:b/>
                <w:sz w:val="20"/>
                <w:szCs w:val="20"/>
              </w:rPr>
            </w:pPr>
            <w:r w:rsidRPr="00B86650">
              <w:rPr>
                <w:rFonts w:ascii="Arial" w:hAnsi="Arial" w:cs="Arial"/>
                <w:b/>
                <w:sz w:val="20"/>
                <w:szCs w:val="20"/>
              </w:rPr>
              <w:t>Findings (Outcome #1)</w:t>
            </w:r>
          </w:p>
          <w:p w14:paraId="6DF41865" w14:textId="2B9352D3" w:rsidR="00C76636" w:rsidRPr="007538FE" w:rsidRDefault="00B86650" w:rsidP="6FCA7594">
            <w:pPr>
              <w:pStyle w:val="NoSpacing"/>
              <w:rPr>
                <w:rFonts w:ascii="Times New Roman" w:hAnsi="Times New Roman" w:cs="Times New Roman"/>
                <w:bCs/>
                <w:sz w:val="24"/>
                <w:szCs w:val="24"/>
              </w:rPr>
            </w:pPr>
            <w:r w:rsidRPr="007538FE">
              <w:rPr>
                <w:rFonts w:ascii="Times New Roman" w:hAnsi="Times New Roman" w:cs="Times New Roman"/>
                <w:bCs/>
                <w:sz w:val="24"/>
                <w:szCs w:val="24"/>
              </w:rPr>
              <w:t>Licensed Professional Counseling staff now have a baseline knowledge of telehealth crisis management as a result of this training.</w:t>
            </w:r>
          </w:p>
        </w:tc>
      </w:tr>
      <w:tr w:rsidR="00C76636" w:rsidRPr="00210107" w14:paraId="2C896432"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CB1598"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578C6B5D" w14:textId="772AC537" w:rsidR="00413A84" w:rsidRPr="007538FE" w:rsidRDefault="00B86650" w:rsidP="00413A84">
            <w:pPr>
              <w:pStyle w:val="NoSpacing"/>
              <w:rPr>
                <w:rFonts w:ascii="Times New Roman" w:hAnsi="Times New Roman" w:cs="Times New Roman"/>
                <w:sz w:val="24"/>
                <w:szCs w:val="24"/>
              </w:rPr>
            </w:pPr>
            <w:r w:rsidRPr="007538FE">
              <w:rPr>
                <w:rFonts w:ascii="Times New Roman" w:hAnsi="Times New Roman" w:cs="Times New Roman"/>
                <w:sz w:val="24"/>
                <w:szCs w:val="24"/>
              </w:rPr>
              <w:t>Licensed Professional Counseling staff will continue to operationalize this training while working with students in telehealth environ</w:t>
            </w:r>
            <w:r w:rsidR="00631701">
              <w:rPr>
                <w:rFonts w:ascii="Times New Roman" w:hAnsi="Times New Roman" w:cs="Times New Roman"/>
                <w:sz w:val="24"/>
                <w:szCs w:val="24"/>
              </w:rPr>
              <w:t>ments</w:t>
            </w:r>
            <w:r w:rsidRPr="007538FE">
              <w:rPr>
                <w:rFonts w:ascii="Times New Roman" w:hAnsi="Times New Roman" w:cs="Times New Roman"/>
                <w:sz w:val="24"/>
                <w:szCs w:val="24"/>
              </w:rPr>
              <w:t xml:space="preserve"> (such as </w:t>
            </w:r>
            <w:proofErr w:type="spellStart"/>
            <w:r w:rsidRPr="007538FE">
              <w:rPr>
                <w:rFonts w:ascii="Times New Roman" w:hAnsi="Times New Roman" w:cs="Times New Roman"/>
                <w:sz w:val="24"/>
                <w:szCs w:val="24"/>
              </w:rPr>
              <w:t>Doxy.Me</w:t>
            </w:r>
            <w:proofErr w:type="spellEnd"/>
            <w:r w:rsidRPr="007538FE">
              <w:rPr>
                <w:rFonts w:ascii="Times New Roman" w:hAnsi="Times New Roman" w:cs="Times New Roman"/>
                <w:sz w:val="24"/>
                <w:szCs w:val="24"/>
              </w:rPr>
              <w:t>).</w:t>
            </w:r>
          </w:p>
        </w:tc>
      </w:tr>
    </w:tbl>
    <w:p w14:paraId="3656B9AB" w14:textId="77777777" w:rsidR="007F4753" w:rsidRDefault="007F4753" w:rsidP="001A7A83">
      <w:pPr>
        <w:tabs>
          <w:tab w:val="left" w:pos="690"/>
          <w:tab w:val="left" w:pos="4575"/>
        </w:tabs>
      </w:pPr>
    </w:p>
    <w:tbl>
      <w:tblPr>
        <w:tblW w:w="13518" w:type="dxa"/>
        <w:tblInd w:w="-23" w:type="dxa"/>
        <w:tblLayout w:type="fixed"/>
        <w:tblLook w:val="04A0" w:firstRow="1" w:lastRow="0" w:firstColumn="1" w:lastColumn="0" w:noHBand="0" w:noVBand="1"/>
      </w:tblPr>
      <w:tblGrid>
        <w:gridCol w:w="7020"/>
        <w:gridCol w:w="6498"/>
      </w:tblGrid>
      <w:tr w:rsidR="00CC5376" w:rsidRPr="00871FEA" w14:paraId="7CD27805" w14:textId="77777777" w:rsidTr="6FCA759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A0ACA2" w14:textId="77777777" w:rsidR="00DD48F7" w:rsidRDefault="00CC5376" w:rsidP="00CC5376">
            <w:pPr>
              <w:pStyle w:val="NoSpacing"/>
              <w:numPr>
                <w:ilvl w:val="0"/>
                <w:numId w:val="3"/>
              </w:numPr>
              <w:rPr>
                <w:rFonts w:ascii="Times New Roman" w:hAnsi="Times New Roman" w:cs="Times New Roman"/>
                <w:b/>
                <w:sz w:val="24"/>
                <w:szCs w:val="24"/>
              </w:rPr>
            </w:pPr>
            <w:r w:rsidRPr="00871FEA">
              <w:rPr>
                <w:rFonts w:ascii="Times New Roman" w:hAnsi="Times New Roman" w:cs="Times New Roman"/>
                <w:b/>
                <w:sz w:val="24"/>
                <w:szCs w:val="24"/>
              </w:rPr>
              <w:t>Outcome #3</w:t>
            </w:r>
          </w:p>
          <w:p w14:paraId="3BF2A3C0" w14:textId="77777777" w:rsidR="00CC5376" w:rsidRPr="00871FEA" w:rsidRDefault="00CC5376" w:rsidP="00DD48F7">
            <w:pPr>
              <w:pStyle w:val="NoSpacing"/>
              <w:ind w:left="720" w:hanging="720"/>
              <w:rPr>
                <w:rFonts w:ascii="Times New Roman" w:hAnsi="Times New Roman" w:cs="Times New Roman"/>
                <w:b/>
                <w:sz w:val="24"/>
                <w:szCs w:val="24"/>
              </w:rPr>
            </w:pPr>
            <w:r w:rsidRPr="00871FEA">
              <w:rPr>
                <w:rFonts w:ascii="Times New Roman" w:hAnsi="Times New Roman" w:cs="Times New Roman"/>
                <w:sz w:val="24"/>
                <w:szCs w:val="24"/>
              </w:rPr>
              <w:t>Expand data reporting to include crisis response and utilize the Client Load Index to inform procedures.</w:t>
            </w:r>
            <w:r w:rsidRPr="00871FEA">
              <w:rPr>
                <w:rFonts w:ascii="Times New Roman" w:hAnsi="Times New Roman" w:cs="Times New Roman"/>
                <w:b/>
                <w:sz w:val="24"/>
                <w:szCs w:val="24"/>
              </w:rPr>
              <w:br/>
            </w:r>
          </w:p>
        </w:tc>
      </w:tr>
      <w:tr w:rsidR="00CC5376" w:rsidRPr="00871FEA" w14:paraId="6E0730F6" w14:textId="77777777" w:rsidTr="6FCA759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2EE1AA" w14:textId="77777777" w:rsidR="00CC5376" w:rsidRPr="00871FEA" w:rsidRDefault="00CC5376" w:rsidP="00CC5376">
            <w:pPr>
              <w:pStyle w:val="NoSpacing"/>
              <w:numPr>
                <w:ilvl w:val="0"/>
                <w:numId w:val="3"/>
              </w:numPr>
              <w:rPr>
                <w:rFonts w:ascii="Times New Roman" w:hAnsi="Times New Roman" w:cs="Times New Roman"/>
                <w:b/>
                <w:sz w:val="24"/>
                <w:szCs w:val="24"/>
              </w:rPr>
            </w:pPr>
            <w:r w:rsidRPr="00871FEA">
              <w:rPr>
                <w:rFonts w:ascii="Times New Roman" w:hAnsi="Times New Roman" w:cs="Times New Roman"/>
                <w:b/>
                <w:sz w:val="24"/>
                <w:szCs w:val="24"/>
              </w:rPr>
              <w:lastRenderedPageBreak/>
              <w:t>Measure (Outcome #3)</w:t>
            </w:r>
          </w:p>
          <w:p w14:paraId="38C3901D" w14:textId="77777777" w:rsidR="00CC5376" w:rsidRPr="00871FEA" w:rsidRDefault="00CC5376" w:rsidP="00F231C6">
            <w:pPr>
              <w:pStyle w:val="NoSpacing"/>
              <w:rPr>
                <w:rFonts w:ascii="Times New Roman" w:hAnsi="Times New Roman" w:cs="Times New Roman"/>
                <w:sz w:val="24"/>
                <w:szCs w:val="24"/>
              </w:rPr>
            </w:pPr>
            <w:r w:rsidRPr="00871FEA">
              <w:rPr>
                <w:rFonts w:ascii="Times New Roman" w:hAnsi="Times New Roman" w:cs="Times New Roman"/>
                <w:sz w:val="24"/>
                <w:szCs w:val="24"/>
              </w:rPr>
              <w:t>Titanium can be configured to capture crisis data. Department surveys can be updated to include more quantitative measures.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FE2AB9" w14:textId="77777777" w:rsidR="00CC5376" w:rsidRPr="00871FEA" w:rsidRDefault="00CC5376" w:rsidP="00CC5376">
            <w:pPr>
              <w:pStyle w:val="NoSpacing"/>
              <w:numPr>
                <w:ilvl w:val="0"/>
                <w:numId w:val="3"/>
              </w:numPr>
              <w:rPr>
                <w:rFonts w:ascii="Times New Roman" w:hAnsi="Times New Roman" w:cs="Times New Roman"/>
                <w:b/>
                <w:sz w:val="24"/>
                <w:szCs w:val="24"/>
              </w:rPr>
            </w:pPr>
            <w:r w:rsidRPr="00871FEA">
              <w:rPr>
                <w:rFonts w:ascii="Times New Roman" w:hAnsi="Times New Roman" w:cs="Times New Roman"/>
                <w:b/>
                <w:sz w:val="24"/>
                <w:szCs w:val="24"/>
              </w:rPr>
              <w:t>Target (Outcome #3)</w:t>
            </w:r>
          </w:p>
          <w:p w14:paraId="4778E2D2" w14:textId="77777777" w:rsidR="00CC5376" w:rsidRPr="00871FEA" w:rsidRDefault="00CC5376" w:rsidP="00F231C6">
            <w:pPr>
              <w:pStyle w:val="NoSpacing"/>
              <w:rPr>
                <w:rFonts w:ascii="Times New Roman" w:hAnsi="Times New Roman" w:cs="Times New Roman"/>
                <w:sz w:val="24"/>
                <w:szCs w:val="24"/>
              </w:rPr>
            </w:pPr>
            <w:r w:rsidRPr="00871FEA">
              <w:rPr>
                <w:rFonts w:ascii="Times New Roman" w:hAnsi="Times New Roman" w:cs="Times New Roman"/>
                <w:sz w:val="24"/>
                <w:szCs w:val="24"/>
              </w:rPr>
              <w:t>Accessibility to more quantitative and qualitative data specific to Counseling Services.</w:t>
            </w:r>
          </w:p>
          <w:p w14:paraId="45FB0818" w14:textId="77777777" w:rsidR="00CC5376" w:rsidRPr="00871FEA" w:rsidRDefault="00CC5376" w:rsidP="00F231C6">
            <w:pPr>
              <w:pStyle w:val="NoSpacing"/>
              <w:ind w:left="360"/>
              <w:rPr>
                <w:rFonts w:ascii="Times New Roman" w:hAnsi="Times New Roman" w:cs="Times New Roman"/>
                <w:sz w:val="24"/>
                <w:szCs w:val="24"/>
              </w:rPr>
            </w:pPr>
          </w:p>
        </w:tc>
      </w:tr>
      <w:tr w:rsidR="00CC5376" w:rsidRPr="00871FEA" w14:paraId="09329548"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C8296B" w14:textId="77777777" w:rsidR="00CC5376" w:rsidRPr="00871FEA" w:rsidRDefault="00CC5376" w:rsidP="00CC5376">
            <w:pPr>
              <w:pStyle w:val="NoSpacing"/>
              <w:numPr>
                <w:ilvl w:val="0"/>
                <w:numId w:val="3"/>
              </w:numPr>
              <w:rPr>
                <w:rFonts w:ascii="Times New Roman" w:hAnsi="Times New Roman" w:cs="Times New Roman"/>
                <w:b/>
                <w:sz w:val="24"/>
                <w:szCs w:val="24"/>
              </w:rPr>
            </w:pPr>
            <w:r w:rsidRPr="00871FEA">
              <w:rPr>
                <w:rFonts w:ascii="Times New Roman" w:hAnsi="Times New Roman" w:cs="Times New Roman"/>
                <w:b/>
                <w:sz w:val="24"/>
                <w:szCs w:val="24"/>
              </w:rPr>
              <w:t>Action Plan (Outcome #3)</w:t>
            </w:r>
          </w:p>
          <w:p w14:paraId="6375FFAB" w14:textId="6FBED93E" w:rsidR="00CC5376" w:rsidRPr="00871FEA" w:rsidRDefault="008C316E" w:rsidP="00DD48F7">
            <w:pPr>
              <w:pStyle w:val="NoSpacing"/>
              <w:ind w:left="-7"/>
              <w:rPr>
                <w:rFonts w:ascii="Times New Roman" w:hAnsi="Times New Roman" w:cs="Times New Roman"/>
                <w:sz w:val="24"/>
                <w:szCs w:val="24"/>
              </w:rPr>
            </w:pPr>
            <w:r>
              <w:rPr>
                <w:rFonts w:ascii="Times New Roman" w:hAnsi="Times New Roman" w:cs="Times New Roman"/>
                <w:sz w:val="24"/>
                <w:szCs w:val="24"/>
              </w:rPr>
              <w:t>C</w:t>
            </w:r>
            <w:r w:rsidR="00CC5376" w:rsidRPr="00871FEA">
              <w:rPr>
                <w:rFonts w:ascii="Times New Roman" w:hAnsi="Times New Roman" w:cs="Times New Roman"/>
                <w:sz w:val="24"/>
                <w:szCs w:val="24"/>
              </w:rPr>
              <w:t xml:space="preserve">apture more data to inform procedures and training. </w:t>
            </w:r>
            <w:r w:rsidR="00CC5376" w:rsidRPr="008C316E">
              <w:rPr>
                <w:rFonts w:ascii="Times New Roman" w:hAnsi="Times New Roman" w:cs="Times New Roman"/>
                <w:sz w:val="24"/>
                <w:szCs w:val="24"/>
              </w:rPr>
              <w:t>Client Load Index will be calculated each year and procedures will subsequently be assessed and appropriately adjusted.</w:t>
            </w:r>
          </w:p>
          <w:p w14:paraId="049F31CB" w14:textId="77777777" w:rsidR="00CC5376" w:rsidRPr="00871FEA" w:rsidRDefault="00CC5376" w:rsidP="00F231C6">
            <w:pPr>
              <w:pStyle w:val="NoSpacing"/>
              <w:rPr>
                <w:rFonts w:ascii="Times New Roman" w:hAnsi="Times New Roman" w:cs="Times New Roman"/>
                <w:sz w:val="24"/>
                <w:szCs w:val="24"/>
              </w:rPr>
            </w:pPr>
          </w:p>
        </w:tc>
      </w:tr>
      <w:tr w:rsidR="00CC5376" w:rsidRPr="00871FEA" w14:paraId="4E340A6D"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972226" w14:textId="77777777" w:rsidR="00CC5376" w:rsidRPr="00871FEA" w:rsidRDefault="3C09D58E" w:rsidP="00CC5376">
            <w:pPr>
              <w:pStyle w:val="NoSpacing"/>
              <w:numPr>
                <w:ilvl w:val="0"/>
                <w:numId w:val="3"/>
              </w:numPr>
              <w:rPr>
                <w:rFonts w:ascii="Times New Roman" w:hAnsi="Times New Roman" w:cs="Times New Roman"/>
                <w:b/>
                <w:sz w:val="24"/>
                <w:szCs w:val="24"/>
              </w:rPr>
            </w:pPr>
            <w:r w:rsidRPr="6FCA7594">
              <w:rPr>
                <w:rFonts w:ascii="Times New Roman" w:hAnsi="Times New Roman" w:cs="Times New Roman"/>
                <w:b/>
                <w:bCs/>
                <w:sz w:val="24"/>
                <w:szCs w:val="24"/>
              </w:rPr>
              <w:t xml:space="preserve">Results Summary (Outcome #3) </w:t>
            </w:r>
          </w:p>
          <w:p w14:paraId="5BBDBC88" w14:textId="18FFE6AD" w:rsidR="00CC5376" w:rsidRPr="007538FE" w:rsidRDefault="33BD3F20" w:rsidP="6FCA7594">
            <w:pPr>
              <w:spacing w:after="160" w:line="259" w:lineRule="auto"/>
              <w:rPr>
                <w:rFonts w:ascii="Times New Roman" w:hAnsi="Times New Roman" w:cs="Times New Roman"/>
                <w:sz w:val="24"/>
                <w:szCs w:val="24"/>
              </w:rPr>
            </w:pPr>
            <w:r w:rsidRPr="007538FE">
              <w:rPr>
                <w:rFonts w:ascii="Times New Roman" w:eastAsia="Calibri" w:hAnsi="Times New Roman" w:cs="Times New Roman"/>
                <w:color w:val="000000" w:themeColor="text1"/>
                <w:sz w:val="24"/>
                <w:szCs w:val="24"/>
              </w:rPr>
              <w:t xml:space="preserve">The goal was to expand reporting of Crisis Response and </w:t>
            </w:r>
            <w:r w:rsidR="008C316E" w:rsidRPr="007538FE">
              <w:rPr>
                <w:rFonts w:ascii="Times New Roman" w:eastAsia="Calibri" w:hAnsi="Times New Roman" w:cs="Times New Roman"/>
                <w:color w:val="000000" w:themeColor="text1"/>
                <w:sz w:val="24"/>
                <w:szCs w:val="24"/>
              </w:rPr>
              <w:t>that was realized</w:t>
            </w:r>
            <w:r w:rsidRPr="007538FE">
              <w:rPr>
                <w:rFonts w:ascii="Times New Roman" w:eastAsia="Calibri" w:hAnsi="Times New Roman" w:cs="Times New Roman"/>
                <w:color w:val="000000" w:themeColor="text1"/>
                <w:sz w:val="24"/>
                <w:szCs w:val="24"/>
              </w:rPr>
              <w:t xml:space="preserve"> by adding a new appointment code in Titanium labeled </w:t>
            </w:r>
            <w:r w:rsidR="008C316E" w:rsidRPr="007538FE">
              <w:rPr>
                <w:rFonts w:ascii="Times New Roman" w:eastAsia="Calibri" w:hAnsi="Times New Roman" w:cs="Times New Roman"/>
                <w:color w:val="000000" w:themeColor="text1"/>
                <w:sz w:val="24"/>
                <w:szCs w:val="24"/>
              </w:rPr>
              <w:t>“</w:t>
            </w:r>
            <w:r w:rsidRPr="007538FE">
              <w:rPr>
                <w:rFonts w:ascii="Times New Roman" w:eastAsia="Calibri" w:hAnsi="Times New Roman" w:cs="Times New Roman"/>
                <w:color w:val="000000" w:themeColor="text1"/>
                <w:sz w:val="24"/>
                <w:szCs w:val="24"/>
              </w:rPr>
              <w:t>Walk In Crisis</w:t>
            </w:r>
            <w:r w:rsidR="008C316E" w:rsidRPr="007538FE">
              <w:rPr>
                <w:rFonts w:ascii="Times New Roman" w:eastAsia="Calibri" w:hAnsi="Times New Roman" w:cs="Times New Roman"/>
                <w:color w:val="000000" w:themeColor="text1"/>
                <w:sz w:val="24"/>
                <w:szCs w:val="24"/>
              </w:rPr>
              <w:t>”</w:t>
            </w:r>
            <w:r w:rsidR="00631701">
              <w:rPr>
                <w:rFonts w:ascii="Times New Roman" w:eastAsia="Calibri" w:hAnsi="Times New Roman" w:cs="Times New Roman"/>
                <w:color w:val="000000" w:themeColor="text1"/>
                <w:sz w:val="24"/>
                <w:szCs w:val="24"/>
              </w:rPr>
              <w:t xml:space="preserve"> t</w:t>
            </w:r>
            <w:r w:rsidRPr="007538FE">
              <w:rPr>
                <w:rFonts w:ascii="Times New Roman" w:eastAsia="Calibri" w:hAnsi="Times New Roman" w:cs="Times New Roman"/>
                <w:color w:val="000000" w:themeColor="text1"/>
                <w:sz w:val="24"/>
                <w:szCs w:val="24"/>
              </w:rPr>
              <w:t xml:space="preserve">hat allows </w:t>
            </w:r>
            <w:r w:rsidR="008C316E" w:rsidRPr="007538FE">
              <w:rPr>
                <w:rFonts w:ascii="Times New Roman" w:eastAsia="Calibri" w:hAnsi="Times New Roman" w:cs="Times New Roman"/>
                <w:color w:val="000000" w:themeColor="text1"/>
                <w:sz w:val="24"/>
                <w:szCs w:val="24"/>
              </w:rPr>
              <w:t>Counseling Services</w:t>
            </w:r>
            <w:r w:rsidRPr="007538FE">
              <w:rPr>
                <w:rFonts w:ascii="Times New Roman" w:eastAsia="Calibri" w:hAnsi="Times New Roman" w:cs="Times New Roman"/>
                <w:color w:val="000000" w:themeColor="text1"/>
                <w:sz w:val="24"/>
                <w:szCs w:val="24"/>
              </w:rPr>
              <w:t xml:space="preserve"> to capture crisis data. </w:t>
            </w:r>
            <w:r w:rsidRPr="007538FE">
              <w:rPr>
                <w:rFonts w:ascii="Times New Roman" w:eastAsia="Arial" w:hAnsi="Times New Roman" w:cs="Times New Roman"/>
                <w:sz w:val="24"/>
                <w:szCs w:val="24"/>
              </w:rPr>
              <w:t xml:space="preserve"> </w:t>
            </w:r>
          </w:p>
          <w:p w14:paraId="0B4BA1D6" w14:textId="186669AC" w:rsidR="00CC5376" w:rsidRPr="00871FEA" w:rsidRDefault="00CC5376" w:rsidP="6FCA7594">
            <w:pPr>
              <w:pStyle w:val="NoSpacing"/>
              <w:rPr>
                <w:rFonts w:ascii="Arial" w:hAnsi="Arial" w:cs="Arial"/>
                <w:b/>
                <w:bCs/>
                <w:color w:val="FF0000"/>
                <w:sz w:val="20"/>
                <w:szCs w:val="20"/>
                <w:highlight w:val="yellow"/>
              </w:rPr>
            </w:pPr>
          </w:p>
        </w:tc>
      </w:tr>
      <w:tr w:rsidR="00CC5376" w:rsidRPr="00871FEA" w14:paraId="06D48D5F"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F2BC3C" w14:textId="77777777" w:rsidR="00CC5376" w:rsidRPr="00871FEA" w:rsidRDefault="3C09D58E" w:rsidP="00CC5376">
            <w:pPr>
              <w:pStyle w:val="NoSpacing"/>
              <w:numPr>
                <w:ilvl w:val="0"/>
                <w:numId w:val="3"/>
              </w:numPr>
              <w:rPr>
                <w:rFonts w:ascii="Times New Roman" w:hAnsi="Times New Roman" w:cs="Times New Roman"/>
                <w:b/>
                <w:sz w:val="24"/>
                <w:szCs w:val="24"/>
              </w:rPr>
            </w:pPr>
            <w:r w:rsidRPr="6FCA7594">
              <w:rPr>
                <w:rFonts w:ascii="Times New Roman" w:hAnsi="Times New Roman" w:cs="Times New Roman"/>
                <w:b/>
                <w:bCs/>
                <w:sz w:val="24"/>
                <w:szCs w:val="24"/>
              </w:rPr>
              <w:t xml:space="preserve">Findings (Outcome #3) </w:t>
            </w:r>
          </w:p>
          <w:p w14:paraId="24D141AC" w14:textId="635E985A" w:rsidR="00CC5376" w:rsidRPr="007538FE" w:rsidRDefault="008C316E" w:rsidP="6FCA7594">
            <w:pPr>
              <w:spacing w:after="160" w:line="259" w:lineRule="auto"/>
              <w:rPr>
                <w:rFonts w:ascii="Times New Roman" w:eastAsia="Calibri" w:hAnsi="Times New Roman" w:cs="Times New Roman"/>
                <w:color w:val="000000" w:themeColor="text1"/>
                <w:sz w:val="24"/>
                <w:szCs w:val="24"/>
              </w:rPr>
            </w:pPr>
            <w:r w:rsidRPr="007538FE">
              <w:rPr>
                <w:rFonts w:ascii="Times New Roman" w:eastAsia="Calibri" w:hAnsi="Times New Roman" w:cs="Times New Roman"/>
                <w:color w:val="000000" w:themeColor="text1"/>
                <w:sz w:val="24"/>
                <w:szCs w:val="24"/>
              </w:rPr>
              <w:t>Counseling Services</w:t>
            </w:r>
            <w:r w:rsidR="0CDA19A8" w:rsidRPr="007538FE">
              <w:rPr>
                <w:rFonts w:ascii="Times New Roman" w:eastAsia="Calibri" w:hAnsi="Times New Roman" w:cs="Times New Roman"/>
                <w:color w:val="000000" w:themeColor="text1"/>
                <w:sz w:val="24"/>
                <w:szCs w:val="24"/>
              </w:rPr>
              <w:t xml:space="preserve"> continue</w:t>
            </w:r>
            <w:r w:rsidRPr="007538FE">
              <w:rPr>
                <w:rFonts w:ascii="Times New Roman" w:eastAsia="Calibri" w:hAnsi="Times New Roman" w:cs="Times New Roman"/>
                <w:color w:val="000000" w:themeColor="text1"/>
                <w:sz w:val="24"/>
                <w:szCs w:val="24"/>
              </w:rPr>
              <w:t>s</w:t>
            </w:r>
            <w:r w:rsidR="0CDA19A8" w:rsidRPr="007538FE">
              <w:rPr>
                <w:rFonts w:ascii="Times New Roman" w:eastAsia="Calibri" w:hAnsi="Times New Roman" w:cs="Times New Roman"/>
                <w:color w:val="000000" w:themeColor="text1"/>
                <w:sz w:val="24"/>
                <w:szCs w:val="24"/>
              </w:rPr>
              <w:t xml:space="preserve"> to use Client Load index to inform procedures.  </w:t>
            </w:r>
            <w:r w:rsidRPr="007538FE">
              <w:rPr>
                <w:rFonts w:ascii="Times New Roman" w:eastAsia="Calibri" w:hAnsi="Times New Roman" w:cs="Times New Roman"/>
                <w:color w:val="000000" w:themeColor="text1"/>
                <w:sz w:val="24"/>
                <w:szCs w:val="24"/>
              </w:rPr>
              <w:t>Counseling Services</w:t>
            </w:r>
            <w:r w:rsidR="0CDA19A8" w:rsidRPr="007538FE">
              <w:rPr>
                <w:rFonts w:ascii="Times New Roman" w:eastAsia="Calibri" w:hAnsi="Times New Roman" w:cs="Times New Roman"/>
                <w:color w:val="000000" w:themeColor="text1"/>
                <w:sz w:val="24"/>
                <w:szCs w:val="24"/>
              </w:rPr>
              <w:t xml:space="preserve"> implemented a session model format to insure students were seen in a reasonable amount of time.</w:t>
            </w:r>
          </w:p>
          <w:p w14:paraId="1D6BBD46" w14:textId="16C32424" w:rsidR="00CC5376" w:rsidRPr="00871FEA" w:rsidRDefault="00CC5376" w:rsidP="6FCA7594">
            <w:pPr>
              <w:pStyle w:val="NoSpacing"/>
              <w:rPr>
                <w:rFonts w:ascii="Arial" w:hAnsi="Arial" w:cs="Arial"/>
                <w:b/>
                <w:bCs/>
                <w:color w:val="FF0000"/>
                <w:sz w:val="20"/>
                <w:szCs w:val="20"/>
                <w:highlight w:val="yellow"/>
              </w:rPr>
            </w:pPr>
          </w:p>
        </w:tc>
      </w:tr>
      <w:tr w:rsidR="00CC5376" w:rsidRPr="00871FEA" w14:paraId="4F8757A5" w14:textId="77777777" w:rsidTr="6FCA759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D91CF1" w14:textId="77777777" w:rsidR="00CC5376" w:rsidRDefault="3C09D58E" w:rsidP="00CC5376">
            <w:pPr>
              <w:pStyle w:val="NoSpacing"/>
              <w:numPr>
                <w:ilvl w:val="0"/>
                <w:numId w:val="3"/>
              </w:numPr>
              <w:rPr>
                <w:rFonts w:ascii="Times New Roman" w:hAnsi="Times New Roman" w:cs="Times New Roman"/>
                <w:b/>
                <w:sz w:val="24"/>
                <w:szCs w:val="24"/>
              </w:rPr>
            </w:pPr>
            <w:r w:rsidRPr="6FCA7594">
              <w:rPr>
                <w:rFonts w:ascii="Times New Roman" w:hAnsi="Times New Roman" w:cs="Times New Roman"/>
                <w:b/>
                <w:bCs/>
                <w:sz w:val="24"/>
                <w:szCs w:val="24"/>
              </w:rPr>
              <w:t xml:space="preserve">Implementation of Findings (Outcome #3) </w:t>
            </w:r>
          </w:p>
          <w:p w14:paraId="4E56D1D7" w14:textId="19B96502" w:rsidR="6FCA7594" w:rsidRDefault="008C316E" w:rsidP="00631701">
            <w:pPr>
              <w:tabs>
                <w:tab w:val="left" w:pos="6750"/>
              </w:tabs>
              <w:spacing w:after="160" w:line="259" w:lineRule="auto"/>
              <w:rPr>
                <w:rFonts w:ascii="Times New Roman" w:hAnsi="Times New Roman" w:cs="Times New Roman"/>
                <w:b/>
                <w:bCs/>
                <w:sz w:val="24"/>
                <w:szCs w:val="24"/>
              </w:rPr>
            </w:pPr>
            <w:r w:rsidRPr="007538FE">
              <w:rPr>
                <w:rFonts w:ascii="Times New Roman" w:eastAsia="Calibri" w:hAnsi="Times New Roman" w:cs="Times New Roman"/>
                <w:color w:val="000000" w:themeColor="text1"/>
                <w:sz w:val="24"/>
                <w:szCs w:val="24"/>
              </w:rPr>
              <w:t>Counseling Services</w:t>
            </w:r>
            <w:r w:rsidR="1340B00C" w:rsidRPr="007538FE">
              <w:rPr>
                <w:rFonts w:ascii="Times New Roman" w:eastAsia="Calibri" w:hAnsi="Times New Roman" w:cs="Times New Roman"/>
                <w:color w:val="000000" w:themeColor="text1"/>
                <w:sz w:val="24"/>
                <w:szCs w:val="24"/>
              </w:rPr>
              <w:t xml:space="preserve"> increased </w:t>
            </w:r>
            <w:r w:rsidRPr="007538FE">
              <w:rPr>
                <w:rFonts w:ascii="Times New Roman" w:eastAsia="Calibri" w:hAnsi="Times New Roman" w:cs="Times New Roman"/>
                <w:color w:val="000000" w:themeColor="text1"/>
                <w:sz w:val="24"/>
                <w:szCs w:val="24"/>
              </w:rPr>
              <w:t>its</w:t>
            </w:r>
            <w:r w:rsidR="1340B00C" w:rsidRPr="007538FE">
              <w:rPr>
                <w:rFonts w:ascii="Times New Roman" w:eastAsia="Calibri" w:hAnsi="Times New Roman" w:cs="Times New Roman"/>
                <w:color w:val="000000" w:themeColor="text1"/>
                <w:sz w:val="24"/>
                <w:szCs w:val="24"/>
              </w:rPr>
              <w:t xml:space="preserve"> client load index</w:t>
            </w:r>
            <w:r w:rsidRPr="007538FE">
              <w:rPr>
                <w:rFonts w:ascii="Times New Roman" w:eastAsia="Calibri" w:hAnsi="Times New Roman" w:cs="Times New Roman"/>
                <w:color w:val="000000" w:themeColor="text1"/>
                <w:sz w:val="24"/>
                <w:szCs w:val="24"/>
              </w:rPr>
              <w:t xml:space="preserve"> by 256 students</w:t>
            </w:r>
            <w:r w:rsidR="1340B00C" w:rsidRPr="007538FE">
              <w:rPr>
                <w:rFonts w:ascii="Times New Roman" w:eastAsia="Calibri" w:hAnsi="Times New Roman" w:cs="Times New Roman"/>
                <w:color w:val="000000" w:themeColor="text1"/>
                <w:sz w:val="24"/>
                <w:szCs w:val="24"/>
              </w:rPr>
              <w:t xml:space="preserve"> from 2020-2021 to 2021-2022</w:t>
            </w:r>
            <w:r w:rsidRPr="007538FE">
              <w:rPr>
                <w:rFonts w:ascii="Times New Roman" w:eastAsia="Calibri" w:hAnsi="Times New Roman" w:cs="Times New Roman"/>
                <w:color w:val="000000" w:themeColor="text1"/>
                <w:sz w:val="24"/>
                <w:szCs w:val="24"/>
              </w:rPr>
              <w:t>.</w:t>
            </w:r>
            <w:r w:rsidR="1340B00C" w:rsidRPr="007538FE">
              <w:rPr>
                <w:rFonts w:ascii="Times New Roman" w:eastAsia="Calibri" w:hAnsi="Times New Roman" w:cs="Times New Roman"/>
                <w:color w:val="000000" w:themeColor="text1"/>
                <w:sz w:val="24"/>
                <w:szCs w:val="24"/>
              </w:rPr>
              <w:t xml:space="preserve"> </w:t>
            </w:r>
            <w:r w:rsidR="1340B00C" w:rsidRPr="007538FE">
              <w:rPr>
                <w:rFonts w:ascii="Times New Roman" w:hAnsi="Times New Roman" w:cs="Times New Roman"/>
                <w:sz w:val="24"/>
                <w:szCs w:val="24"/>
              </w:rPr>
              <w:tab/>
            </w:r>
          </w:p>
          <w:p w14:paraId="19B23DC2" w14:textId="455D8C96" w:rsidR="00413A84" w:rsidRPr="00871FEA" w:rsidRDefault="00413A84" w:rsidP="6FCA7594">
            <w:pPr>
              <w:pStyle w:val="NoSpacing"/>
              <w:rPr>
                <w:rFonts w:ascii="Arial" w:hAnsi="Arial" w:cs="Arial"/>
                <w:b/>
                <w:bCs/>
                <w:color w:val="FF0000"/>
                <w:sz w:val="20"/>
                <w:szCs w:val="20"/>
                <w:highlight w:val="yellow"/>
              </w:rPr>
            </w:pPr>
          </w:p>
        </w:tc>
      </w:tr>
    </w:tbl>
    <w:p w14:paraId="53128261" w14:textId="77777777" w:rsidR="00CC5376" w:rsidRDefault="00CC5376" w:rsidP="001A7A83">
      <w:pPr>
        <w:tabs>
          <w:tab w:val="left" w:pos="690"/>
          <w:tab w:val="left" w:pos="4575"/>
        </w:tabs>
      </w:pPr>
    </w:p>
    <w:sectPr w:rsidR="00CC5376" w:rsidSect="00F17DBD">
      <w:headerReference w:type="default" r:id="rId8"/>
      <w:footerReference w:type="default" r:id="rId9"/>
      <w:pgSz w:w="15840" w:h="12240" w:orient="landscape"/>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E8C9" w14:textId="77777777" w:rsidR="00C2325F" w:rsidRDefault="00C2325F" w:rsidP="0002489A">
      <w:pPr>
        <w:spacing w:after="0" w:line="240" w:lineRule="auto"/>
      </w:pPr>
      <w:r>
        <w:separator/>
      </w:r>
    </w:p>
  </w:endnote>
  <w:endnote w:type="continuationSeparator" w:id="0">
    <w:p w14:paraId="027EF7F4" w14:textId="77777777" w:rsidR="00C2325F" w:rsidRDefault="00C2325F"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66D9DE0"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62486C05"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EEF2" w14:textId="77777777" w:rsidR="00C2325F" w:rsidRDefault="00C2325F" w:rsidP="0002489A">
      <w:pPr>
        <w:spacing w:after="0" w:line="240" w:lineRule="auto"/>
      </w:pPr>
      <w:r>
        <w:separator/>
      </w:r>
    </w:p>
  </w:footnote>
  <w:footnote w:type="continuationSeparator" w:id="0">
    <w:p w14:paraId="5BBE8D73" w14:textId="77777777" w:rsidR="00C2325F" w:rsidRDefault="00C2325F"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D391"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4101652C"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6A5"/>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657C1"/>
    <w:rsid w:val="002E1129"/>
    <w:rsid w:val="00366166"/>
    <w:rsid w:val="00413A84"/>
    <w:rsid w:val="004C586B"/>
    <w:rsid w:val="004C7267"/>
    <w:rsid w:val="004F2961"/>
    <w:rsid w:val="00517E19"/>
    <w:rsid w:val="005A203A"/>
    <w:rsid w:val="005C60D2"/>
    <w:rsid w:val="005D66CF"/>
    <w:rsid w:val="00631701"/>
    <w:rsid w:val="00671453"/>
    <w:rsid w:val="007052D4"/>
    <w:rsid w:val="00746F2D"/>
    <w:rsid w:val="007538FE"/>
    <w:rsid w:val="00761D43"/>
    <w:rsid w:val="007B5A78"/>
    <w:rsid w:val="007C3F60"/>
    <w:rsid w:val="007D11B3"/>
    <w:rsid w:val="007D7522"/>
    <w:rsid w:val="007F4753"/>
    <w:rsid w:val="008410E5"/>
    <w:rsid w:val="00847DBF"/>
    <w:rsid w:val="0088617D"/>
    <w:rsid w:val="008A27FB"/>
    <w:rsid w:val="008C316E"/>
    <w:rsid w:val="008E2C52"/>
    <w:rsid w:val="00915FA8"/>
    <w:rsid w:val="009617FF"/>
    <w:rsid w:val="0098162F"/>
    <w:rsid w:val="00993C83"/>
    <w:rsid w:val="009E3359"/>
    <w:rsid w:val="009F702B"/>
    <w:rsid w:val="00A22D6B"/>
    <w:rsid w:val="00A53228"/>
    <w:rsid w:val="00A93275"/>
    <w:rsid w:val="00A96E68"/>
    <w:rsid w:val="00AA4C7F"/>
    <w:rsid w:val="00AE4294"/>
    <w:rsid w:val="00AF243B"/>
    <w:rsid w:val="00AF4DD1"/>
    <w:rsid w:val="00B57654"/>
    <w:rsid w:val="00B65CE1"/>
    <w:rsid w:val="00B86650"/>
    <w:rsid w:val="00BA07FB"/>
    <w:rsid w:val="00BE7B86"/>
    <w:rsid w:val="00C10B61"/>
    <w:rsid w:val="00C2325F"/>
    <w:rsid w:val="00C76636"/>
    <w:rsid w:val="00CC5376"/>
    <w:rsid w:val="00CE3C6C"/>
    <w:rsid w:val="00CF3C32"/>
    <w:rsid w:val="00D21AC7"/>
    <w:rsid w:val="00D2274C"/>
    <w:rsid w:val="00D87631"/>
    <w:rsid w:val="00DD48F3"/>
    <w:rsid w:val="00DD48F7"/>
    <w:rsid w:val="00E87527"/>
    <w:rsid w:val="00EA1C0D"/>
    <w:rsid w:val="00F17DBD"/>
    <w:rsid w:val="00F25D44"/>
    <w:rsid w:val="00F547BD"/>
    <w:rsid w:val="00F7391A"/>
    <w:rsid w:val="00F9197F"/>
    <w:rsid w:val="0CDA19A8"/>
    <w:rsid w:val="117242EB"/>
    <w:rsid w:val="1340B00C"/>
    <w:rsid w:val="18301982"/>
    <w:rsid w:val="2F418453"/>
    <w:rsid w:val="33BD3F20"/>
    <w:rsid w:val="35B17844"/>
    <w:rsid w:val="3C09D58E"/>
    <w:rsid w:val="45B5AECA"/>
    <w:rsid w:val="46A18437"/>
    <w:rsid w:val="47517F2B"/>
    <w:rsid w:val="4A72C1EF"/>
    <w:rsid w:val="58983984"/>
    <w:rsid w:val="5B79DE4D"/>
    <w:rsid w:val="5FBE6A5F"/>
    <w:rsid w:val="664A27FE"/>
    <w:rsid w:val="6FCA7594"/>
    <w:rsid w:val="72F3068E"/>
    <w:rsid w:val="79F91AA9"/>
    <w:rsid w:val="7D8DABC7"/>
    <w:rsid w:val="7F7C8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0C54"/>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UnresolvedMention">
    <w:name w:val="Unresolved Mention"/>
    <w:basedOn w:val="DefaultParagraphFont"/>
    <w:uiPriority w:val="99"/>
    <w:semiHidden/>
    <w:unhideWhenUsed/>
    <w:rsid w:val="007538FE"/>
    <w:rPr>
      <w:color w:val="605E5C"/>
      <w:shd w:val="clear" w:color="auto" w:fill="E1DFDD"/>
    </w:rPr>
  </w:style>
  <w:style w:type="paragraph" w:styleId="ListParagraph">
    <w:name w:val="List Paragraph"/>
    <w:basedOn w:val="Normal"/>
    <w:uiPriority w:val="34"/>
    <w:qFormat/>
    <w:rsid w:val="00F17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rennan@col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Alicia Huppe</cp:lastModifiedBy>
  <cp:revision>5</cp:revision>
  <cp:lastPrinted>2018-09-04T19:27:00Z</cp:lastPrinted>
  <dcterms:created xsi:type="dcterms:W3CDTF">2023-02-17T22:37:00Z</dcterms:created>
  <dcterms:modified xsi:type="dcterms:W3CDTF">2023-02-23T22:26:00Z</dcterms:modified>
</cp:coreProperties>
</file>