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93DAD" w14:textId="77777777"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  <w:r w:rsidR="00AE4294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 xml:space="preserve"> </w:t>
      </w:r>
    </w:p>
    <w:p w14:paraId="110FE4FA" w14:textId="77777777" w:rsidR="00CE3C6C" w:rsidRDefault="00CE3C6C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</w:p>
    <w:p w14:paraId="29CFF71B" w14:textId="77777777"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        </w:t>
      </w:r>
      <w:r w:rsidR="006401FC">
        <w:rPr>
          <w:rFonts w:ascii="Arial" w:hAnsi="Arial" w:cs="Arial"/>
        </w:rPr>
        <w:t>1/</w:t>
      </w:r>
      <w:r w:rsidR="00565C7D">
        <w:rPr>
          <w:rFonts w:ascii="Arial" w:hAnsi="Arial" w:cs="Arial"/>
        </w:rPr>
        <w:t>30</w:t>
      </w:r>
      <w:r w:rsidR="006401FC">
        <w:rPr>
          <w:rFonts w:ascii="Arial" w:hAnsi="Arial" w:cs="Arial"/>
        </w:rPr>
        <w:t>/23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</w:t>
      </w:r>
      <w:r w:rsidR="00CE3C6C">
        <w:rPr>
          <w:rFonts w:ascii="Arial" w:hAnsi="Arial" w:cs="Arial"/>
        </w:rPr>
        <w:t xml:space="preserve">                   </w:t>
      </w:r>
      <w:r w:rsidR="004C586B">
        <w:rPr>
          <w:rFonts w:ascii="Arial" w:hAnsi="Arial" w:cs="Arial"/>
        </w:rPr>
        <w:t xml:space="preserve">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C10B61">
        <w:rPr>
          <w:rFonts w:ascii="Arial" w:hAnsi="Arial" w:cs="Arial"/>
          <w:b/>
        </w:rPr>
        <w:t xml:space="preserve">  </w:t>
      </w:r>
      <w:r w:rsidR="006401FC">
        <w:rPr>
          <w:rFonts w:ascii="Arial" w:hAnsi="Arial" w:cs="Arial"/>
          <w:b/>
        </w:rPr>
        <w:t xml:space="preserve">ACCESS </w:t>
      </w:r>
      <w:r w:rsidR="000D070C">
        <w:rPr>
          <w:rFonts w:ascii="Arial" w:hAnsi="Arial" w:cs="Arial"/>
          <w:b/>
        </w:rPr>
        <w:t>Department</w:t>
      </w:r>
      <w:r w:rsidR="00C10B61">
        <w:rPr>
          <w:rFonts w:ascii="Arial" w:hAnsi="Arial" w:cs="Arial"/>
          <w:b/>
        </w:rPr>
        <w:t xml:space="preserve">  </w:t>
      </w:r>
    </w:p>
    <w:p w14:paraId="2A4787B3" w14:textId="77777777"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     </w:t>
      </w:r>
      <w:r w:rsidR="006401FC">
        <w:rPr>
          <w:rFonts w:ascii="Arial" w:hAnsi="Arial" w:cs="Arial"/>
        </w:rPr>
        <w:t>Marilyn Harren</w:t>
      </w:r>
      <w:r w:rsidR="00C10B61">
        <w:rPr>
          <w:rFonts w:ascii="Arial" w:hAnsi="Arial" w:cs="Arial"/>
        </w:rPr>
        <w:t xml:space="preserve">             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D87631" w:rsidRPr="00210107">
        <w:rPr>
          <w:rFonts w:ascii="Arial" w:hAnsi="Arial" w:cs="Arial"/>
        </w:rPr>
        <w:t xml:space="preserve"> </w:t>
      </w:r>
      <w:r w:rsidR="006401FC">
        <w:rPr>
          <w:rFonts w:ascii="Arial" w:hAnsi="Arial" w:cs="Arial"/>
        </w:rPr>
        <w:t>mharren@collin.edu</w:t>
      </w:r>
      <w:r w:rsidR="00C10B61">
        <w:rPr>
          <w:rFonts w:ascii="Arial" w:hAnsi="Arial" w:cs="Arial"/>
        </w:rPr>
        <w:t xml:space="preserve">          </w:t>
      </w:r>
      <w:r w:rsidR="00D87631" w:rsidRPr="00210107">
        <w:rPr>
          <w:rFonts w:ascii="Arial" w:hAnsi="Arial" w:cs="Arial"/>
        </w:rPr>
        <w:t xml:space="preserve">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  <w:r w:rsidR="006401FC">
        <w:rPr>
          <w:rFonts w:ascii="Arial" w:hAnsi="Arial" w:cs="Arial"/>
        </w:rPr>
        <w:t>881-972-5</w:t>
      </w:r>
      <w:r w:rsidR="000D070C">
        <w:rPr>
          <w:rFonts w:ascii="Arial" w:hAnsi="Arial" w:cs="Arial"/>
        </w:rPr>
        <w:t>713</w:t>
      </w:r>
    </w:p>
    <w:p w14:paraId="152D9D0C" w14:textId="77777777"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14:paraId="06C0C8DC" w14:textId="77777777" w:rsidTr="002E1129">
        <w:trPr>
          <w:trHeight w:hRule="exact" w:val="139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11EE7F9F" w14:textId="77777777"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05A2BB53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4EF91A58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45748ED7" w14:textId="77777777"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2398A506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31FFA5A1" w14:textId="77777777" w:rsidR="00F25D44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  <w:p w14:paraId="3781F226" w14:textId="77777777" w:rsidR="002E1129" w:rsidRPr="00210107" w:rsidRDefault="002E1129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Include Course Information and Semester in which assessment will occur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14:paraId="0F335B6C" w14:textId="77777777"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4046F9E1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7DECF6B0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(e.g. 80% approval rating, </w:t>
            </w:r>
            <w:proofErr w:type="gramStart"/>
            <w:r w:rsidRPr="00210107">
              <w:rPr>
                <w:rFonts w:ascii="Arial" w:eastAsia="Calibri" w:hAnsi="Arial" w:cs="Arial"/>
                <w:sz w:val="20"/>
                <w:szCs w:val="20"/>
              </w:rPr>
              <w:t>10 day</w:t>
            </w:r>
            <w:proofErr w:type="gramEnd"/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 faster request turn-around time, etc.)</w:t>
            </w:r>
          </w:p>
        </w:tc>
      </w:tr>
      <w:tr w:rsidR="000E709E" w:rsidRPr="00210107" w14:paraId="2120F443" w14:textId="77777777" w:rsidTr="00236E81">
        <w:trPr>
          <w:trHeight w:hRule="exact" w:val="1392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CE64A68" w14:textId="77777777" w:rsidR="000E709E" w:rsidRPr="00060532" w:rsidRDefault="000E709E" w:rsidP="000E709E">
            <w:pPr>
              <w:spacing w:after="0" w:line="240" w:lineRule="auto"/>
              <w:ind w:left="144"/>
              <w:rPr>
                <w:rFonts w:ascii="Arial" w:eastAsia="Franklin Gothic Book" w:hAnsi="Arial" w:cs="Arial"/>
              </w:rPr>
            </w:pPr>
            <w:r w:rsidRPr="00060532">
              <w:rPr>
                <w:rFonts w:ascii="Arial" w:eastAsia="Franklin Gothic Book" w:hAnsi="Arial" w:cs="Arial"/>
              </w:rPr>
              <w:t xml:space="preserve">To have an assessment tool that captures students’ feedback regarding their experience. </w:t>
            </w: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19C15140" w14:textId="77777777" w:rsidR="000E709E" w:rsidRPr="00060532" w:rsidRDefault="000E709E" w:rsidP="000E709E">
            <w:pPr>
              <w:spacing w:after="0" w:line="240" w:lineRule="auto"/>
              <w:ind w:right="-20"/>
              <w:jc w:val="center"/>
              <w:rPr>
                <w:rFonts w:ascii="Arial" w:eastAsia="Franklin Gothic Book" w:hAnsi="Arial" w:cs="Arial"/>
              </w:rPr>
            </w:pPr>
            <w:r w:rsidRPr="00060532">
              <w:rPr>
                <w:rFonts w:ascii="Arial" w:eastAsia="Franklin Gothic Book" w:hAnsi="Arial" w:cs="Arial"/>
              </w:rPr>
              <w:t xml:space="preserve">Assessment tool is developed to review student feedback.  </w:t>
            </w: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856B315" w14:textId="77777777" w:rsidR="000E709E" w:rsidRPr="00060532" w:rsidRDefault="000E709E" w:rsidP="000E709E">
            <w:pPr>
              <w:pStyle w:val="NoSpacing"/>
              <w:jc w:val="center"/>
              <w:rPr>
                <w:rFonts w:ascii="Arial" w:hAnsi="Arial" w:cs="Arial"/>
              </w:rPr>
            </w:pPr>
            <w:r w:rsidRPr="00060532">
              <w:rPr>
                <w:rFonts w:ascii="Arial" w:eastAsia="Franklin Gothic Book" w:hAnsi="Arial" w:cs="Arial"/>
              </w:rPr>
              <w:t>A 10-question survey to capture student feedback regarding their experiences in the ACCESS office completed.</w:t>
            </w:r>
          </w:p>
        </w:tc>
      </w:tr>
      <w:tr w:rsidR="000E709E" w:rsidRPr="00210107" w14:paraId="76386FFF" w14:textId="77777777" w:rsidTr="006C375A">
        <w:trPr>
          <w:trHeight w:hRule="exact" w:val="202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477AB2" w14:textId="77777777" w:rsidR="000E709E" w:rsidRPr="00060532" w:rsidRDefault="000E709E" w:rsidP="000E709E">
            <w:pPr>
              <w:spacing w:after="0" w:line="240" w:lineRule="auto"/>
              <w:ind w:right="-20"/>
              <w:rPr>
                <w:rFonts w:ascii="Arial" w:eastAsia="Franklin Gothic Book" w:hAnsi="Arial" w:cs="Arial"/>
              </w:rPr>
            </w:pPr>
            <w:r w:rsidRPr="00060532">
              <w:rPr>
                <w:rFonts w:ascii="Arial" w:hAnsi="Arial" w:cs="Arial"/>
              </w:rPr>
              <w:t>Increase capacity of the department to serve the rising need of students needing services and reduce the student load on each ACCESS advisor.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3AB5AA" w14:textId="77777777" w:rsidR="000E709E" w:rsidRPr="00060532" w:rsidRDefault="000E709E" w:rsidP="000E709E">
            <w:pPr>
              <w:spacing w:after="0" w:line="240" w:lineRule="auto"/>
              <w:ind w:right="-20"/>
              <w:rPr>
                <w:rFonts w:ascii="Arial" w:eastAsia="Franklin Gothic Book" w:hAnsi="Arial" w:cs="Arial"/>
              </w:rPr>
            </w:pPr>
            <w:r w:rsidRPr="00060532">
              <w:rPr>
                <w:rFonts w:ascii="Arial" w:eastAsia="Franklin Gothic Book" w:hAnsi="Arial" w:cs="Arial"/>
              </w:rPr>
              <w:t xml:space="preserve">     Confirmation of new hired staff.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57FAAD" w14:textId="2808FA22" w:rsidR="000E709E" w:rsidRPr="00060532" w:rsidRDefault="00F23F68" w:rsidP="002613EB">
            <w:pPr>
              <w:pStyle w:val="NoSpacing"/>
              <w:ind w:left="256"/>
              <w:rPr>
                <w:rFonts w:ascii="Arial" w:hAnsi="Arial" w:cs="Arial"/>
              </w:rPr>
            </w:pPr>
            <w:r w:rsidRPr="00060532">
              <w:rPr>
                <w:rFonts w:ascii="Arial" w:eastAsia="Franklin Gothic Book" w:hAnsi="Arial" w:cs="Arial"/>
              </w:rPr>
              <w:t>Student to staff r</w:t>
            </w:r>
            <w:r w:rsidR="000E709E" w:rsidRPr="00060532">
              <w:rPr>
                <w:rFonts w:ascii="Arial" w:eastAsia="Franklin Gothic Book" w:hAnsi="Arial" w:cs="Arial"/>
              </w:rPr>
              <w:t>atio of 250/1</w:t>
            </w:r>
            <w:r w:rsidR="002613EB">
              <w:rPr>
                <w:rFonts w:ascii="Arial" w:eastAsia="Franklin Gothic Book" w:hAnsi="Arial" w:cs="Arial"/>
              </w:rPr>
              <w:t xml:space="preserve"> as suggested by AHEAD (</w:t>
            </w:r>
            <w:r w:rsidR="002613EB">
              <w:rPr>
                <w:rFonts w:ascii="Arial" w:hAnsi="Arial" w:cs="Arial"/>
                <w:sz w:val="20"/>
                <w:szCs w:val="20"/>
              </w:rPr>
              <w:t>National Association on Higher Education And Disabilities</w:t>
            </w:r>
            <w:r w:rsidR="002613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709E" w:rsidRPr="00210107" w14:paraId="37183EC8" w14:textId="7777777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6E2D8FD5" w14:textId="77777777" w:rsidR="000E709E" w:rsidRPr="00210107" w:rsidRDefault="000E709E" w:rsidP="000E70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64F3C481" w14:textId="77777777" w:rsidR="000E709E" w:rsidRPr="00210107" w:rsidRDefault="000E709E" w:rsidP="000E70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76C678E1" w14:textId="77777777" w:rsidR="000E709E" w:rsidRPr="00210107" w:rsidRDefault="000E709E" w:rsidP="000E70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2D5FFD" w14:textId="77777777"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3FC844E0" w14:textId="77777777"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14:paraId="010728A9" w14:textId="77777777"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14:paraId="0AAF825C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14:paraId="0A28C849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14:paraId="599854B9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14:paraId="43F7283E" w14:textId="77777777"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14:paraId="7BCFAB63" w14:textId="77777777"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lastRenderedPageBreak/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14:paraId="68EEDF23" w14:textId="77777777"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14:paraId="2EF32A64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14:paraId="41AE0EA7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4D74EBB8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1983BD86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6E0A82B0" w14:textId="77777777"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14:paraId="24447EF1" w14:textId="77777777"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46276B" w:rsidRPr="00210107" w14:paraId="3266A4DA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2C6B7B1" w14:textId="77777777" w:rsidR="0046276B" w:rsidRPr="00FF4BF2" w:rsidRDefault="0046276B" w:rsidP="0046276B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FF4BF2">
              <w:rPr>
                <w:rFonts w:cstheme="minorHAnsi"/>
                <w:b/>
                <w:sz w:val="24"/>
                <w:szCs w:val="24"/>
              </w:rPr>
              <w:t>Outcome #1</w:t>
            </w:r>
          </w:p>
          <w:p w14:paraId="4C8200D4" w14:textId="77777777" w:rsidR="0046276B" w:rsidRPr="001D06C3" w:rsidRDefault="0046276B" w:rsidP="004627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06C3">
              <w:rPr>
                <w:rFonts w:ascii="Arial" w:eastAsia="Franklin Gothic Book" w:hAnsi="Arial" w:cs="Arial"/>
                <w:sz w:val="20"/>
                <w:szCs w:val="20"/>
              </w:rPr>
              <w:t>To have an assessment tool that captures students’ feedback regarding their experience.</w:t>
            </w:r>
          </w:p>
        </w:tc>
      </w:tr>
      <w:tr w:rsidR="0046276B" w:rsidRPr="00210107" w14:paraId="16D4C245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6CEFEE3" w14:textId="77777777" w:rsidR="0046276B" w:rsidRPr="00210107" w:rsidRDefault="0046276B" w:rsidP="0046276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 (Outcome #1)</w:t>
            </w:r>
          </w:p>
          <w:p w14:paraId="6E150D13" w14:textId="77777777" w:rsidR="0046276B" w:rsidRPr="001D06C3" w:rsidRDefault="00502687" w:rsidP="004627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06C3">
              <w:rPr>
                <w:rFonts w:ascii="Arial" w:hAnsi="Arial" w:cs="Arial"/>
                <w:sz w:val="20"/>
                <w:szCs w:val="20"/>
              </w:rPr>
              <w:t xml:space="preserve">Assessment tool was developed to review student feedback.  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8A37E19" w14:textId="77777777" w:rsidR="0046276B" w:rsidRPr="00210107" w:rsidRDefault="0046276B" w:rsidP="0046276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(Outcome #1)</w:t>
            </w:r>
          </w:p>
          <w:p w14:paraId="73296A02" w14:textId="77777777" w:rsidR="0046276B" w:rsidRPr="001D06C3" w:rsidRDefault="00502687" w:rsidP="004627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06C3">
              <w:rPr>
                <w:rFonts w:ascii="Arial" w:hAnsi="Arial" w:cs="Arial"/>
                <w:sz w:val="20"/>
                <w:szCs w:val="20"/>
              </w:rPr>
              <w:t>A 10-question survey was developed to capture student feedback regarding their experiences in the ACCESS office</w:t>
            </w:r>
          </w:p>
        </w:tc>
      </w:tr>
      <w:tr w:rsidR="0046276B" w:rsidRPr="00210107" w14:paraId="6F5517E9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B2D8823" w14:textId="77777777" w:rsidR="0046276B" w:rsidRPr="00210107" w:rsidRDefault="0046276B" w:rsidP="0046276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Action Plan (Outcome #1)</w:t>
            </w:r>
          </w:p>
          <w:p w14:paraId="1CCC93F6" w14:textId="77777777" w:rsidR="0046276B" w:rsidRPr="00C630AB" w:rsidRDefault="00116228" w:rsidP="004627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30AB">
              <w:rPr>
                <w:rFonts w:ascii="Arial" w:hAnsi="Arial" w:cs="Arial"/>
                <w:sz w:val="20"/>
                <w:szCs w:val="20"/>
              </w:rPr>
              <w:t xml:space="preserve">A survey tool was developed to assess student feedback regarding their experience using ACCESS services. It is sent each semester to students using ACCESS services.  </w:t>
            </w:r>
          </w:p>
        </w:tc>
      </w:tr>
      <w:tr w:rsidR="0046276B" w:rsidRPr="00210107" w14:paraId="4F1AA958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E8333CA" w14:textId="77777777" w:rsidR="0046276B" w:rsidRPr="00210107" w:rsidRDefault="0046276B" w:rsidP="0046276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14:paraId="77C540CE" w14:textId="77777777" w:rsidR="0046276B" w:rsidRDefault="00116228" w:rsidP="004627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30AB">
              <w:rPr>
                <w:rFonts w:ascii="Arial" w:hAnsi="Arial" w:cs="Arial"/>
                <w:sz w:val="20"/>
                <w:szCs w:val="20"/>
              </w:rPr>
              <w:t>The goal to assess student feedback has been implemented</w:t>
            </w:r>
            <w:r w:rsidR="00C630AB">
              <w:rPr>
                <w:rFonts w:ascii="Arial" w:hAnsi="Arial" w:cs="Arial"/>
                <w:sz w:val="20"/>
                <w:szCs w:val="20"/>
              </w:rPr>
              <w:t xml:space="preserve"> and a Survey Monkey link is sent to students</w:t>
            </w:r>
            <w:r w:rsidR="008814AD" w:rsidRPr="00C630AB">
              <w:rPr>
                <w:rFonts w:ascii="Arial" w:hAnsi="Arial" w:cs="Arial"/>
                <w:sz w:val="20"/>
                <w:szCs w:val="20"/>
              </w:rPr>
              <w:t xml:space="preserve"> at the end of each semester</w:t>
            </w:r>
            <w:r w:rsidR="00C630AB">
              <w:rPr>
                <w:rFonts w:ascii="Arial" w:hAnsi="Arial" w:cs="Arial"/>
                <w:sz w:val="20"/>
                <w:szCs w:val="20"/>
              </w:rPr>
              <w:t>. T</w:t>
            </w:r>
            <w:r w:rsidRPr="00C630AB">
              <w:rPr>
                <w:rFonts w:ascii="Arial" w:hAnsi="Arial" w:cs="Arial"/>
                <w:sz w:val="20"/>
                <w:szCs w:val="20"/>
              </w:rPr>
              <w:t>he use of an SMS system purchased in FY 2021 to increase communication with students to send out the survey link, was used by less than 100 students.</w:t>
            </w:r>
            <w:r w:rsidR="008814AD" w:rsidRPr="00C630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0AB">
              <w:rPr>
                <w:rFonts w:ascii="Arial" w:hAnsi="Arial" w:cs="Arial"/>
                <w:sz w:val="20"/>
                <w:szCs w:val="20"/>
              </w:rPr>
              <w:t>Increase</w:t>
            </w:r>
            <w:r w:rsidR="00684D89">
              <w:rPr>
                <w:rFonts w:ascii="Arial" w:hAnsi="Arial" w:cs="Arial"/>
                <w:sz w:val="20"/>
                <w:szCs w:val="20"/>
              </w:rPr>
              <w:t>d</w:t>
            </w:r>
            <w:r w:rsidR="00C630AB">
              <w:rPr>
                <w:rFonts w:ascii="Arial" w:hAnsi="Arial" w:cs="Arial"/>
                <w:sz w:val="20"/>
                <w:szCs w:val="20"/>
              </w:rPr>
              <w:t xml:space="preserve"> results using SMS were not achieved.</w:t>
            </w:r>
            <w:r w:rsidR="003A247B" w:rsidRPr="00C630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66A6D1" w14:textId="639F77D6" w:rsidR="001D5F36" w:rsidRPr="00C630AB" w:rsidRDefault="001D5F36" w:rsidP="004627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6B" w:rsidRPr="00210107" w14:paraId="283680F8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CDF73E7" w14:textId="77777777" w:rsidR="0046276B" w:rsidRPr="00210107" w:rsidRDefault="0046276B" w:rsidP="0046276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638B9E98" w14:textId="77777777" w:rsidR="0046276B" w:rsidRDefault="003A247B" w:rsidP="004627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30AB">
              <w:rPr>
                <w:rFonts w:ascii="Arial" w:hAnsi="Arial" w:cs="Arial"/>
                <w:sz w:val="20"/>
                <w:szCs w:val="20"/>
              </w:rPr>
              <w:t>Permission granting</w:t>
            </w:r>
            <w:r w:rsidR="008814AD" w:rsidRPr="00C630AB">
              <w:rPr>
                <w:rFonts w:ascii="Arial" w:hAnsi="Arial" w:cs="Arial"/>
                <w:sz w:val="20"/>
                <w:szCs w:val="20"/>
              </w:rPr>
              <w:t xml:space="preserve"> in AIM </w:t>
            </w:r>
            <w:r w:rsidRPr="00C630AB">
              <w:rPr>
                <w:rFonts w:ascii="Arial" w:hAnsi="Arial" w:cs="Arial"/>
                <w:sz w:val="20"/>
                <w:szCs w:val="20"/>
              </w:rPr>
              <w:t>(</w:t>
            </w:r>
            <w:r w:rsidRPr="00A85953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C630AB">
              <w:rPr>
                <w:rFonts w:ascii="Arial" w:hAnsi="Arial" w:cs="Arial"/>
                <w:sz w:val="20"/>
                <w:szCs w:val="20"/>
              </w:rPr>
              <w:t xml:space="preserve">ccessible </w:t>
            </w:r>
            <w:r w:rsidRPr="00A85953">
              <w:rPr>
                <w:rFonts w:ascii="Arial" w:hAnsi="Arial" w:cs="Arial"/>
                <w:b/>
                <w:sz w:val="20"/>
                <w:szCs w:val="20"/>
                <w:u w:val="single"/>
              </w:rPr>
              <w:t>I</w:t>
            </w:r>
            <w:r w:rsidRPr="00C630AB">
              <w:rPr>
                <w:rFonts w:ascii="Arial" w:hAnsi="Arial" w:cs="Arial"/>
                <w:sz w:val="20"/>
                <w:szCs w:val="20"/>
              </w:rPr>
              <w:t xml:space="preserve">nformation </w:t>
            </w:r>
            <w:r w:rsidRPr="00A85953">
              <w:rPr>
                <w:rFonts w:ascii="Arial" w:hAnsi="Arial" w:cs="Arial"/>
                <w:b/>
                <w:sz w:val="20"/>
                <w:szCs w:val="20"/>
                <w:u w:val="single"/>
              </w:rPr>
              <w:t>M</w:t>
            </w:r>
            <w:r w:rsidRPr="00C630AB">
              <w:rPr>
                <w:rFonts w:ascii="Arial" w:hAnsi="Arial" w:cs="Arial"/>
                <w:sz w:val="20"/>
                <w:szCs w:val="20"/>
              </w:rPr>
              <w:t xml:space="preserve">anagement </w:t>
            </w:r>
            <w:r w:rsidR="008814AD" w:rsidRPr="00C630AB">
              <w:rPr>
                <w:rFonts w:ascii="Arial" w:hAnsi="Arial" w:cs="Arial"/>
                <w:sz w:val="20"/>
                <w:szCs w:val="20"/>
              </w:rPr>
              <w:t>software</w:t>
            </w:r>
            <w:r w:rsidR="00A85953">
              <w:rPr>
                <w:rFonts w:ascii="Arial" w:hAnsi="Arial" w:cs="Arial"/>
                <w:sz w:val="20"/>
                <w:szCs w:val="20"/>
              </w:rPr>
              <w:t xml:space="preserve"> used by the department)</w:t>
            </w:r>
            <w:r w:rsidR="008814AD" w:rsidRPr="00C630AB">
              <w:rPr>
                <w:rFonts w:ascii="Arial" w:hAnsi="Arial" w:cs="Arial"/>
                <w:sz w:val="20"/>
                <w:szCs w:val="20"/>
              </w:rPr>
              <w:t xml:space="preserve"> was needed to receive student approval to use SMS</w:t>
            </w:r>
            <w:r w:rsidRPr="00C630AB">
              <w:rPr>
                <w:rFonts w:ascii="Arial" w:hAnsi="Arial" w:cs="Arial"/>
                <w:sz w:val="20"/>
                <w:szCs w:val="20"/>
              </w:rPr>
              <w:t xml:space="preserve"> to send the survey link</w:t>
            </w:r>
            <w:r w:rsidR="008814AD" w:rsidRPr="00C630AB">
              <w:rPr>
                <w:rFonts w:ascii="Arial" w:hAnsi="Arial" w:cs="Arial"/>
                <w:sz w:val="20"/>
                <w:szCs w:val="20"/>
              </w:rPr>
              <w:t xml:space="preserve">. It was used by approximately 2.3% of the students using services. The response rate was not improved using SMS to send out the survey link. </w:t>
            </w:r>
          </w:p>
          <w:p w14:paraId="336E4414" w14:textId="65540689" w:rsidR="001D5F36" w:rsidRPr="00C630AB" w:rsidRDefault="001D5F36" w:rsidP="004627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6B" w:rsidRPr="00210107" w14:paraId="38715448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DFE6B6E" w14:textId="77777777" w:rsidR="0046276B" w:rsidRDefault="0046276B" w:rsidP="0046276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14:paraId="5FD5347D" w14:textId="77777777" w:rsidR="0046276B" w:rsidRDefault="001D5F36" w:rsidP="004627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Since</w:t>
            </w:r>
            <w:r w:rsidR="003A247B" w:rsidRPr="00C630AB">
              <w:rPr>
                <w:rFonts w:ascii="Arial" w:hAnsi="Arial" w:cs="Arial"/>
                <w:sz w:val="20"/>
                <w:szCs w:val="20"/>
              </w:rPr>
              <w:t xml:space="preserve"> SMS was not an effective tool to send out the survey link, the ACCESS office</w:t>
            </w:r>
            <w:r w:rsidR="00D063C9">
              <w:rPr>
                <w:rFonts w:ascii="Arial" w:hAnsi="Arial" w:cs="Arial"/>
                <w:sz w:val="20"/>
                <w:szCs w:val="20"/>
              </w:rPr>
              <w:t xml:space="preserve"> discontinued paying for the SMS texting software. The ACCESS office </w:t>
            </w:r>
            <w:r w:rsidR="003A247B" w:rsidRPr="00C630AB">
              <w:rPr>
                <w:rFonts w:ascii="Arial" w:hAnsi="Arial" w:cs="Arial"/>
                <w:sz w:val="20"/>
                <w:szCs w:val="20"/>
              </w:rPr>
              <w:t xml:space="preserve">will continue to send out the survey links in AIM and by general email. </w:t>
            </w:r>
            <w:r w:rsidR="00D063C9">
              <w:rPr>
                <w:rFonts w:ascii="Arial" w:hAnsi="Arial" w:cs="Arial"/>
                <w:sz w:val="20"/>
                <w:szCs w:val="20"/>
              </w:rPr>
              <w:t xml:space="preserve">The ACCESS office will continue to explore other options to increase responses to review student feedback. </w:t>
            </w:r>
          </w:p>
          <w:p w14:paraId="346C43C9" w14:textId="7E500B7A" w:rsidR="001D5F36" w:rsidRPr="00C630AB" w:rsidRDefault="001D5F36" w:rsidP="004627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B14F6" w14:textId="3939279B" w:rsidR="001D5F36" w:rsidRDefault="001D5F36">
      <w:pPr>
        <w:rPr>
          <w:rFonts w:ascii="Arial" w:hAnsi="Arial" w:cs="Arial"/>
        </w:rPr>
      </w:pPr>
    </w:p>
    <w:p w14:paraId="60B13D93" w14:textId="77777777" w:rsidR="001D5F36" w:rsidRDefault="001D5F3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14:paraId="5C89A814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A201429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Outcome #2</w:t>
            </w:r>
          </w:p>
          <w:p w14:paraId="5BB226DC" w14:textId="77777777" w:rsidR="00BE7B86" w:rsidRPr="001D06C3" w:rsidRDefault="00520C57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06C3">
              <w:rPr>
                <w:rFonts w:ascii="Arial" w:hAnsi="Arial" w:cs="Arial"/>
                <w:sz w:val="20"/>
                <w:szCs w:val="20"/>
              </w:rPr>
              <w:t>Increase capacity of the department to serve the rising need of students needing services and reduce the student load on each ACCESS advisor.</w:t>
            </w:r>
          </w:p>
        </w:tc>
      </w:tr>
      <w:tr w:rsidR="00BE7B86" w:rsidRPr="00210107" w14:paraId="17FBF305" w14:textId="77777777" w:rsidTr="001D5F36">
        <w:trPr>
          <w:trHeight w:val="933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801DF29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ADADDD7" w14:textId="77777777" w:rsidR="00BE7B86" w:rsidRPr="001D06C3" w:rsidRDefault="00520C57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06C3">
              <w:rPr>
                <w:rFonts w:ascii="Arial" w:eastAsia="Franklin Gothic Book" w:hAnsi="Arial" w:cs="Arial"/>
                <w:sz w:val="20"/>
                <w:szCs w:val="20"/>
              </w:rPr>
              <w:t>Confirmation of new hired staff.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97D78EA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DE3DF57" w14:textId="77777777" w:rsidR="00BE7B86" w:rsidRDefault="00520C57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06C3">
              <w:rPr>
                <w:rFonts w:ascii="Arial" w:hAnsi="Arial" w:cs="Arial"/>
                <w:sz w:val="20"/>
                <w:szCs w:val="20"/>
              </w:rPr>
              <w:t xml:space="preserve">Meet suggested ratio of 250/1 student to staff </w:t>
            </w:r>
            <w:r w:rsidR="000B44C0" w:rsidRPr="001D06C3">
              <w:rPr>
                <w:rFonts w:ascii="Arial" w:hAnsi="Arial" w:cs="Arial"/>
                <w:sz w:val="20"/>
                <w:szCs w:val="20"/>
              </w:rPr>
              <w:t xml:space="preserve">to student </w:t>
            </w:r>
            <w:r w:rsidRPr="001D06C3">
              <w:rPr>
                <w:rFonts w:ascii="Arial" w:hAnsi="Arial" w:cs="Arial"/>
                <w:sz w:val="20"/>
                <w:szCs w:val="20"/>
              </w:rPr>
              <w:t>ratio.</w:t>
            </w:r>
          </w:p>
          <w:p w14:paraId="0D9493EF" w14:textId="7CDA5FA7" w:rsidR="00443EE7" w:rsidRPr="001D06C3" w:rsidRDefault="00443EE7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46C43">
              <w:rPr>
                <w:rFonts w:ascii="Arial" w:hAnsi="Arial" w:cs="Arial"/>
                <w:sz w:val="20"/>
                <w:szCs w:val="20"/>
              </w:rPr>
              <w:t>Recommendation comes from National Association on Higher Education And Disabilities AHEAD organization]</w:t>
            </w:r>
          </w:p>
        </w:tc>
      </w:tr>
      <w:tr w:rsidR="004C7267" w:rsidRPr="00210107" w14:paraId="03820A92" w14:textId="7777777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7A6CD53" w14:textId="77777777" w:rsidR="00085A6C" w:rsidRDefault="004C7267" w:rsidP="00085A6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51FC012" w14:textId="1DA662E0" w:rsidR="00085A6C" w:rsidRDefault="009E048C" w:rsidP="004627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77D9D" w:rsidRPr="00377D9D">
              <w:rPr>
                <w:rFonts w:ascii="Arial" w:hAnsi="Arial" w:cs="Arial"/>
                <w:sz w:val="20"/>
                <w:szCs w:val="20"/>
              </w:rPr>
              <w:t xml:space="preserve">ork with Associate Dean and </w:t>
            </w:r>
            <w:r>
              <w:rPr>
                <w:rFonts w:ascii="Arial" w:hAnsi="Arial" w:cs="Arial"/>
                <w:sz w:val="20"/>
                <w:szCs w:val="20"/>
              </w:rPr>
              <w:t xml:space="preserve">conduct a needs assessment to determine which positions would best serve the college based on population growth and demand. </w:t>
            </w:r>
          </w:p>
          <w:p w14:paraId="7E1840FC" w14:textId="77777777" w:rsidR="009E048C" w:rsidRPr="00377D9D" w:rsidRDefault="009E048C" w:rsidP="004627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B86" w:rsidRPr="00210107" w14:paraId="06C0CD70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EDC42CE" w14:textId="77777777" w:rsidR="00BE7B86" w:rsidRPr="00210107" w:rsidRDefault="00BE7B86" w:rsidP="00377D9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14:paraId="52FBA26A" w14:textId="77777777" w:rsidR="00377D9D" w:rsidRPr="00377D9D" w:rsidRDefault="00377D9D" w:rsidP="00377D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77D9D">
              <w:rPr>
                <w:rFonts w:ascii="Arial" w:hAnsi="Arial" w:cs="Arial"/>
                <w:sz w:val="20"/>
                <w:szCs w:val="20"/>
              </w:rPr>
              <w:t xml:space="preserve">Since 2020, the </w:t>
            </w:r>
            <w:r w:rsidR="009E048C">
              <w:rPr>
                <w:rFonts w:ascii="Arial" w:hAnsi="Arial" w:cs="Arial"/>
                <w:sz w:val="20"/>
                <w:szCs w:val="20"/>
              </w:rPr>
              <w:t>department</w:t>
            </w:r>
            <w:r w:rsidRPr="00377D9D">
              <w:rPr>
                <w:rFonts w:ascii="Arial" w:hAnsi="Arial" w:cs="Arial"/>
                <w:sz w:val="20"/>
                <w:szCs w:val="20"/>
              </w:rPr>
              <w:t xml:space="preserve"> hired a dual credit ACCESS advisor, a part-time ACCESS advisor </w:t>
            </w:r>
            <w:r w:rsidR="009E048C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Pr="00377D9D">
              <w:rPr>
                <w:rFonts w:ascii="Arial" w:hAnsi="Arial" w:cs="Arial"/>
                <w:sz w:val="20"/>
                <w:szCs w:val="20"/>
              </w:rPr>
              <w:t>Celina</w:t>
            </w:r>
            <w:r w:rsidR="009E048C">
              <w:rPr>
                <w:rFonts w:ascii="Arial" w:hAnsi="Arial" w:cs="Arial"/>
                <w:sz w:val="20"/>
                <w:szCs w:val="20"/>
              </w:rPr>
              <w:t xml:space="preserve"> Campus</w:t>
            </w:r>
            <w:r w:rsidRPr="00377D9D">
              <w:rPr>
                <w:rFonts w:ascii="Arial" w:hAnsi="Arial" w:cs="Arial"/>
                <w:sz w:val="20"/>
                <w:szCs w:val="20"/>
              </w:rPr>
              <w:t xml:space="preserve">, a grant-funded ACCESS advisor </w:t>
            </w:r>
            <w:r w:rsidR="009E048C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Pr="00377D9D">
              <w:rPr>
                <w:rFonts w:ascii="Arial" w:hAnsi="Arial" w:cs="Arial"/>
                <w:sz w:val="20"/>
                <w:szCs w:val="20"/>
              </w:rPr>
              <w:t xml:space="preserve">workforce programs at the Technical Campus, and a grant-funded assistive technology specialist. These additional staff </w:t>
            </w:r>
            <w:r w:rsidR="009E048C">
              <w:rPr>
                <w:rFonts w:ascii="Arial" w:hAnsi="Arial" w:cs="Arial"/>
                <w:sz w:val="20"/>
                <w:szCs w:val="20"/>
              </w:rPr>
              <w:t>enabled the AC</w:t>
            </w:r>
            <w:r w:rsidRPr="00377D9D">
              <w:rPr>
                <w:rFonts w:ascii="Arial" w:hAnsi="Arial" w:cs="Arial"/>
                <w:sz w:val="20"/>
                <w:szCs w:val="20"/>
              </w:rPr>
              <w:t>CESS</w:t>
            </w:r>
            <w:r w:rsidR="009E04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D9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E048C">
              <w:rPr>
                <w:rFonts w:ascii="Arial" w:hAnsi="Arial" w:cs="Arial"/>
                <w:sz w:val="20"/>
                <w:szCs w:val="20"/>
              </w:rPr>
              <w:t>reach</w:t>
            </w:r>
            <w:r w:rsidRPr="00377D9D">
              <w:rPr>
                <w:rFonts w:ascii="Arial" w:hAnsi="Arial" w:cs="Arial"/>
                <w:sz w:val="20"/>
                <w:szCs w:val="20"/>
              </w:rPr>
              <w:t xml:space="preserve"> the 250/1 student to staff ratio. </w:t>
            </w:r>
          </w:p>
          <w:p w14:paraId="1A92A496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23043A9D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D95E4FB" w14:textId="77777777" w:rsidR="00C76636" w:rsidRPr="00210107" w:rsidRDefault="00C76636" w:rsidP="00377D9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0C8B3D57" w14:textId="77777777" w:rsidR="00577912" w:rsidRDefault="00577912" w:rsidP="00377D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EA74476" w14:textId="5AEB3634" w:rsidR="00577912" w:rsidRPr="002613EB" w:rsidRDefault="00577912" w:rsidP="00377D9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EB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number of ACCESS students</w:t>
            </w:r>
          </w:p>
          <w:p w14:paraId="653A5CFB" w14:textId="77777777" w:rsidR="00577912" w:rsidRPr="002613EB" w:rsidRDefault="00577912" w:rsidP="00377D9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B212A7" w14:textId="38A13EDD" w:rsidR="00577912" w:rsidRPr="002613EB" w:rsidRDefault="00577912" w:rsidP="00577912">
            <w:pPr>
              <w:pStyle w:val="NoSpacing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EB">
              <w:rPr>
                <w:rFonts w:ascii="Arial" w:hAnsi="Arial" w:cs="Arial"/>
                <w:color w:val="000000" w:themeColor="text1"/>
                <w:sz w:val="20"/>
                <w:szCs w:val="20"/>
              </w:rPr>
              <w:t>Fiscal Year 2021     3,936</w:t>
            </w:r>
          </w:p>
          <w:p w14:paraId="458273CC" w14:textId="327C7772" w:rsidR="00577912" w:rsidRPr="002613EB" w:rsidRDefault="00577912" w:rsidP="00577912">
            <w:pPr>
              <w:pStyle w:val="NoSpacing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EB">
              <w:rPr>
                <w:rFonts w:ascii="Arial" w:hAnsi="Arial" w:cs="Arial"/>
                <w:color w:val="000000" w:themeColor="text1"/>
                <w:sz w:val="20"/>
                <w:szCs w:val="20"/>
              </w:rPr>
              <w:t>Fiscal Year 2022     3,981</w:t>
            </w:r>
            <w:r w:rsidRPr="002613E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        (</w:t>
            </w:r>
            <w:r w:rsidRPr="002613E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Data Results Gathered using ARGOS</w:t>
            </w:r>
            <w:r w:rsidRPr="002613E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2FF061A9" w14:textId="77777777" w:rsidR="00577912" w:rsidRPr="002613EB" w:rsidRDefault="00577912" w:rsidP="00377D9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294F67" w14:textId="32E97EB8" w:rsidR="00577912" w:rsidRPr="002613EB" w:rsidRDefault="00577912" w:rsidP="00377D9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EB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number of dual credit ACCESS students:</w:t>
            </w:r>
            <w:bookmarkStart w:id="0" w:name="_GoBack"/>
            <w:bookmarkEnd w:id="0"/>
          </w:p>
          <w:p w14:paraId="42AF2D70" w14:textId="556EFE4C" w:rsidR="002613EB" w:rsidRPr="002613EB" w:rsidRDefault="002613EB" w:rsidP="00377D9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990"/>
              <w:gridCol w:w="900"/>
              <w:gridCol w:w="720"/>
            </w:tblGrid>
            <w:tr w:rsidR="002613EB" w:rsidRPr="002613EB" w14:paraId="15DF3C92" w14:textId="77777777" w:rsidTr="002613EB">
              <w:tc>
                <w:tcPr>
                  <w:tcW w:w="1420" w:type="dxa"/>
                </w:tcPr>
                <w:p w14:paraId="3466DE4B" w14:textId="77777777" w:rsidR="002613EB" w:rsidRPr="002613EB" w:rsidRDefault="002613EB" w:rsidP="00377D9D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696AAB2D" w14:textId="6434BB57" w:rsidR="002613EB" w:rsidRPr="002613EB" w:rsidRDefault="002613EB" w:rsidP="00377D9D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613E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00" w:type="dxa"/>
                </w:tcPr>
                <w:p w14:paraId="3C35C593" w14:textId="3211AD9E" w:rsidR="002613EB" w:rsidRPr="002613EB" w:rsidRDefault="002613EB" w:rsidP="00377D9D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613E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720" w:type="dxa"/>
                </w:tcPr>
                <w:p w14:paraId="75E96547" w14:textId="2138F9B2" w:rsidR="002613EB" w:rsidRPr="002613EB" w:rsidRDefault="002613EB" w:rsidP="00377D9D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613E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</w:tr>
            <w:tr w:rsidR="002613EB" w:rsidRPr="002613EB" w14:paraId="78428D18" w14:textId="77777777" w:rsidTr="002613EB">
              <w:tc>
                <w:tcPr>
                  <w:tcW w:w="1420" w:type="dxa"/>
                </w:tcPr>
                <w:p w14:paraId="3023768C" w14:textId="464A5A5F" w:rsidR="002613EB" w:rsidRPr="002613EB" w:rsidRDefault="002613EB" w:rsidP="00377D9D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613E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Fall</w:t>
                  </w:r>
                </w:p>
              </w:tc>
              <w:tc>
                <w:tcPr>
                  <w:tcW w:w="990" w:type="dxa"/>
                </w:tcPr>
                <w:p w14:paraId="5B87939A" w14:textId="41696720" w:rsidR="002613EB" w:rsidRPr="002613EB" w:rsidRDefault="002613EB" w:rsidP="00377D9D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613E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900" w:type="dxa"/>
                </w:tcPr>
                <w:p w14:paraId="7B36645E" w14:textId="1282518C" w:rsidR="002613EB" w:rsidRPr="002613EB" w:rsidRDefault="002613EB" w:rsidP="00377D9D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613E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20" w:type="dxa"/>
                </w:tcPr>
                <w:p w14:paraId="70B559CA" w14:textId="087A52D7" w:rsidR="002613EB" w:rsidRPr="002613EB" w:rsidRDefault="002613EB" w:rsidP="00377D9D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613E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100</w:t>
                  </w:r>
                </w:p>
              </w:tc>
            </w:tr>
            <w:tr w:rsidR="002613EB" w:rsidRPr="002613EB" w14:paraId="66855648" w14:textId="77777777" w:rsidTr="002613EB">
              <w:tc>
                <w:tcPr>
                  <w:tcW w:w="1420" w:type="dxa"/>
                </w:tcPr>
                <w:p w14:paraId="2C2BD585" w14:textId="12919C80" w:rsidR="002613EB" w:rsidRPr="002613EB" w:rsidRDefault="002613EB" w:rsidP="00377D9D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613E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Spring</w:t>
                  </w:r>
                </w:p>
              </w:tc>
              <w:tc>
                <w:tcPr>
                  <w:tcW w:w="990" w:type="dxa"/>
                </w:tcPr>
                <w:p w14:paraId="28AB1646" w14:textId="57C8C072" w:rsidR="002613EB" w:rsidRPr="002613EB" w:rsidRDefault="002613EB" w:rsidP="00377D9D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613E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0" w:type="dxa"/>
                </w:tcPr>
                <w:p w14:paraId="468255CB" w14:textId="49871A02" w:rsidR="002613EB" w:rsidRPr="002613EB" w:rsidRDefault="002613EB" w:rsidP="00377D9D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613E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20" w:type="dxa"/>
                </w:tcPr>
                <w:p w14:paraId="112228D6" w14:textId="42797CD9" w:rsidR="002613EB" w:rsidRPr="002613EB" w:rsidRDefault="002613EB" w:rsidP="00377D9D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613E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29</w:t>
                  </w:r>
                </w:p>
              </w:tc>
            </w:tr>
            <w:tr w:rsidR="002613EB" w:rsidRPr="002613EB" w14:paraId="17DF3188" w14:textId="77777777" w:rsidTr="002613EB">
              <w:tc>
                <w:tcPr>
                  <w:tcW w:w="1420" w:type="dxa"/>
                </w:tcPr>
                <w:p w14:paraId="244BFF5F" w14:textId="287C96B9" w:rsidR="002613EB" w:rsidRPr="002613EB" w:rsidRDefault="002613EB" w:rsidP="00377D9D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613E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Summer</w:t>
                  </w:r>
                </w:p>
              </w:tc>
              <w:tc>
                <w:tcPr>
                  <w:tcW w:w="990" w:type="dxa"/>
                </w:tcPr>
                <w:p w14:paraId="1290929E" w14:textId="49B76161" w:rsidR="002613EB" w:rsidRPr="002613EB" w:rsidRDefault="002613EB" w:rsidP="00377D9D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613E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0" w:type="dxa"/>
                </w:tcPr>
                <w:p w14:paraId="4F55663A" w14:textId="28D0FF7B" w:rsidR="002613EB" w:rsidRPr="002613EB" w:rsidRDefault="002613EB" w:rsidP="00377D9D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613E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20" w:type="dxa"/>
                </w:tcPr>
                <w:p w14:paraId="1A3FAD11" w14:textId="3095475E" w:rsidR="002613EB" w:rsidRPr="002613EB" w:rsidRDefault="002613EB" w:rsidP="00377D9D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613E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33</w:t>
                  </w:r>
                </w:p>
              </w:tc>
            </w:tr>
          </w:tbl>
          <w:p w14:paraId="6C618D21" w14:textId="7495A8F0" w:rsidR="00577912" w:rsidRPr="00577912" w:rsidRDefault="00577912" w:rsidP="005779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5F36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6A7E39DD" w14:textId="75700A72" w:rsidR="00377D9D" w:rsidRPr="0042342E" w:rsidRDefault="00377D9D" w:rsidP="00377D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6D6E">
              <w:rPr>
                <w:rFonts w:ascii="Arial" w:hAnsi="Arial" w:cs="Arial"/>
                <w:sz w:val="20"/>
                <w:szCs w:val="20"/>
              </w:rPr>
              <w:t xml:space="preserve">The additional staff </w:t>
            </w:r>
            <w:r w:rsidR="00503FB4">
              <w:rPr>
                <w:rFonts w:ascii="Arial" w:hAnsi="Arial" w:cs="Arial"/>
                <w:sz w:val="20"/>
                <w:szCs w:val="20"/>
              </w:rPr>
              <w:t>provided</w:t>
            </w:r>
            <w:r w:rsidRPr="007E6D6E">
              <w:rPr>
                <w:rFonts w:ascii="Arial" w:hAnsi="Arial" w:cs="Arial"/>
                <w:sz w:val="20"/>
                <w:szCs w:val="20"/>
              </w:rPr>
              <w:t xml:space="preserve"> the ACCESS </w:t>
            </w:r>
            <w:r w:rsidR="00503FB4">
              <w:rPr>
                <w:rFonts w:ascii="Arial" w:hAnsi="Arial" w:cs="Arial"/>
                <w:sz w:val="20"/>
                <w:szCs w:val="20"/>
              </w:rPr>
              <w:t>department</w:t>
            </w:r>
            <w:r w:rsidRPr="007E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FB4">
              <w:rPr>
                <w:rFonts w:ascii="Arial" w:hAnsi="Arial" w:cs="Arial"/>
                <w:sz w:val="20"/>
                <w:szCs w:val="20"/>
              </w:rPr>
              <w:t xml:space="preserve">the ability </w:t>
            </w:r>
            <w:r w:rsidRPr="007E6D6E">
              <w:rPr>
                <w:rFonts w:ascii="Arial" w:hAnsi="Arial" w:cs="Arial"/>
                <w:sz w:val="20"/>
                <w:szCs w:val="20"/>
              </w:rPr>
              <w:t>to meet student requests</w:t>
            </w:r>
            <w:r w:rsidR="00503F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03FB4">
              <w:rPr>
                <w:rFonts w:ascii="Arial" w:hAnsi="Arial" w:cs="Arial"/>
                <w:sz w:val="20"/>
                <w:szCs w:val="20"/>
              </w:rPr>
              <w:t>more timely</w:t>
            </w:r>
            <w:proofErr w:type="gramEnd"/>
            <w:r w:rsidRPr="007E6D6E">
              <w:rPr>
                <w:rFonts w:ascii="Arial" w:hAnsi="Arial" w:cs="Arial"/>
                <w:sz w:val="20"/>
                <w:szCs w:val="20"/>
              </w:rPr>
              <w:t>,</w:t>
            </w:r>
            <w:r w:rsidR="00503FB4">
              <w:rPr>
                <w:rFonts w:ascii="Arial" w:hAnsi="Arial" w:cs="Arial"/>
                <w:sz w:val="20"/>
                <w:szCs w:val="20"/>
              </w:rPr>
              <w:t xml:space="preserve"> provide </w:t>
            </w:r>
            <w:r w:rsidRPr="007E6D6E">
              <w:rPr>
                <w:rFonts w:ascii="Arial" w:hAnsi="Arial" w:cs="Arial"/>
                <w:sz w:val="20"/>
                <w:szCs w:val="20"/>
              </w:rPr>
              <w:t>accommodation decisions</w:t>
            </w:r>
            <w:r w:rsidR="00503FB4">
              <w:rPr>
                <w:rFonts w:ascii="Arial" w:hAnsi="Arial" w:cs="Arial"/>
                <w:sz w:val="20"/>
                <w:szCs w:val="20"/>
              </w:rPr>
              <w:t xml:space="preserve"> earlier</w:t>
            </w:r>
            <w:r w:rsidRPr="007E6D6E">
              <w:rPr>
                <w:rFonts w:ascii="Arial" w:hAnsi="Arial" w:cs="Arial"/>
                <w:sz w:val="20"/>
                <w:szCs w:val="20"/>
              </w:rPr>
              <w:t>, and</w:t>
            </w:r>
            <w:r w:rsidR="00503FB4">
              <w:rPr>
                <w:rFonts w:ascii="Arial" w:hAnsi="Arial" w:cs="Arial"/>
                <w:sz w:val="20"/>
                <w:szCs w:val="20"/>
              </w:rPr>
              <w:t xml:space="preserve"> work toward </w:t>
            </w:r>
            <w:r w:rsidRPr="007E6D6E">
              <w:rPr>
                <w:rFonts w:ascii="Arial" w:hAnsi="Arial" w:cs="Arial"/>
                <w:sz w:val="20"/>
                <w:szCs w:val="20"/>
              </w:rPr>
              <w:t>the student to staff ratio at recommended level</w:t>
            </w:r>
            <w:r w:rsidR="00503FB4">
              <w:rPr>
                <w:rFonts w:ascii="Arial" w:hAnsi="Arial" w:cs="Arial"/>
                <w:sz w:val="20"/>
                <w:szCs w:val="20"/>
              </w:rPr>
              <w:t>s</w:t>
            </w:r>
            <w:r w:rsidRPr="007E6D6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7EB479" w14:textId="77777777" w:rsidR="00377D9D" w:rsidRPr="0042342E" w:rsidRDefault="00377D9D" w:rsidP="00377D9D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2DE29A0" w14:textId="0128882E" w:rsidR="00377D9D" w:rsidRPr="0042342E" w:rsidRDefault="00377D9D" w:rsidP="00377D9D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A789DBC" w14:textId="17DB6F76" w:rsidR="00377D9D" w:rsidRPr="0042342E" w:rsidRDefault="00377D9D" w:rsidP="00377D9D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2342E">
              <w:rPr>
                <w:rFonts w:ascii="Arial" w:hAnsi="Arial" w:cs="Arial"/>
                <w:sz w:val="20"/>
                <w:szCs w:val="20"/>
              </w:rPr>
              <w:t xml:space="preserve">Results for students using </w:t>
            </w:r>
            <w:r w:rsidR="0074119B">
              <w:rPr>
                <w:rFonts w:ascii="Arial" w:hAnsi="Arial" w:cs="Arial"/>
                <w:sz w:val="20"/>
                <w:szCs w:val="20"/>
              </w:rPr>
              <w:t xml:space="preserve">ACCESS </w:t>
            </w:r>
            <w:r w:rsidRPr="0042342E">
              <w:rPr>
                <w:rFonts w:ascii="Arial" w:hAnsi="Arial" w:cs="Arial"/>
                <w:sz w:val="20"/>
                <w:szCs w:val="20"/>
              </w:rPr>
              <w:t>services:</w:t>
            </w:r>
          </w:p>
          <w:p w14:paraId="304823F8" w14:textId="77777777" w:rsidR="00377D9D" w:rsidRPr="0042342E" w:rsidRDefault="00377D9D" w:rsidP="00377D9D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A989F6F" w14:textId="0080FDB4" w:rsidR="00377D9D" w:rsidRPr="0042342E" w:rsidRDefault="00377D9D" w:rsidP="00377D9D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2342E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="002613EB">
              <w:rPr>
                <w:rFonts w:ascii="Arial" w:hAnsi="Arial" w:cs="Arial"/>
                <w:sz w:val="20"/>
                <w:szCs w:val="20"/>
              </w:rPr>
              <w:t xml:space="preserve">Credit </w:t>
            </w:r>
            <w:r w:rsidRPr="0042342E">
              <w:rPr>
                <w:rFonts w:ascii="Arial" w:hAnsi="Arial" w:cs="Arial"/>
                <w:sz w:val="20"/>
                <w:szCs w:val="20"/>
              </w:rPr>
              <w:t>Hours Attempted        Hours Completed               Percent Completion</w:t>
            </w:r>
          </w:p>
          <w:p w14:paraId="2C2943F6" w14:textId="77777777" w:rsidR="00377D9D" w:rsidRPr="0042342E" w:rsidRDefault="00377D9D" w:rsidP="00377D9D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2342E">
              <w:rPr>
                <w:rFonts w:ascii="Arial" w:hAnsi="Arial" w:cs="Arial"/>
                <w:sz w:val="20"/>
                <w:szCs w:val="20"/>
              </w:rPr>
              <w:t>FY 2021                                    29,168                             22,453                                    77.0</w:t>
            </w:r>
          </w:p>
          <w:p w14:paraId="4620F7A7" w14:textId="77777777" w:rsidR="00377D9D" w:rsidRDefault="00377D9D" w:rsidP="00377D9D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2342E">
              <w:rPr>
                <w:rFonts w:ascii="Arial" w:hAnsi="Arial" w:cs="Arial"/>
                <w:sz w:val="20"/>
                <w:szCs w:val="20"/>
              </w:rPr>
              <w:t>FY 2022                                    29,793                             23,354                                    78.4</w:t>
            </w:r>
          </w:p>
          <w:p w14:paraId="79C99FDA" w14:textId="77777777" w:rsidR="00C411E3" w:rsidRDefault="00C411E3" w:rsidP="00377D9D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7065466" w14:textId="3B8DDA2B" w:rsidR="00C411E3" w:rsidRDefault="0074119B" w:rsidP="00377D9D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Results for </w:t>
            </w:r>
            <w:r w:rsidR="00C411E3"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 w:rsidR="002613EB">
              <w:rPr>
                <w:rFonts w:ascii="Arial" w:hAnsi="Arial" w:cs="Arial"/>
                <w:sz w:val="20"/>
                <w:szCs w:val="20"/>
              </w:rPr>
              <w:t>Population</w:t>
            </w:r>
            <w:r w:rsidR="00C411E3">
              <w:rPr>
                <w:rFonts w:ascii="Arial" w:hAnsi="Arial" w:cs="Arial"/>
                <w:sz w:val="20"/>
                <w:szCs w:val="20"/>
              </w:rPr>
              <w:t xml:space="preserve"> Students:</w:t>
            </w:r>
          </w:p>
          <w:p w14:paraId="58E09D9A" w14:textId="77777777" w:rsidR="0074119B" w:rsidRDefault="0074119B" w:rsidP="00377D9D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C0B00E6" w14:textId="1ED98359" w:rsidR="0074119B" w:rsidRDefault="0074119B" w:rsidP="00377D9D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2613EB">
              <w:rPr>
                <w:rFonts w:ascii="Arial" w:hAnsi="Arial" w:cs="Arial"/>
                <w:sz w:val="20"/>
                <w:szCs w:val="20"/>
              </w:rPr>
              <w:t>Credit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42E">
              <w:rPr>
                <w:rFonts w:ascii="Arial" w:hAnsi="Arial" w:cs="Arial"/>
                <w:sz w:val="20"/>
                <w:szCs w:val="20"/>
              </w:rPr>
              <w:t>Hours Attempted       Hours Completed               Percent Completion</w:t>
            </w:r>
          </w:p>
          <w:p w14:paraId="0D2E5D3C" w14:textId="77777777" w:rsidR="00C411E3" w:rsidRDefault="00C411E3" w:rsidP="00377D9D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FY 2021                          </w:t>
            </w:r>
            <w:r w:rsidR="007411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823D59">
              <w:rPr>
                <w:rFonts w:ascii="Arial" w:hAnsi="Arial" w:cs="Arial"/>
                <w:sz w:val="20"/>
                <w:szCs w:val="20"/>
              </w:rPr>
              <w:t>622,404                         496,683                                     79.8</w:t>
            </w:r>
          </w:p>
          <w:p w14:paraId="46BB8CEE" w14:textId="77777777" w:rsidR="00C411E3" w:rsidRPr="0042342E" w:rsidRDefault="00C411E3" w:rsidP="00377D9D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 2022</w:t>
            </w:r>
            <w:r w:rsidR="00823D59">
              <w:rPr>
                <w:rFonts w:ascii="Arial" w:hAnsi="Arial" w:cs="Arial"/>
                <w:sz w:val="20"/>
                <w:szCs w:val="20"/>
              </w:rPr>
              <w:t xml:space="preserve">                                   626,337                         515,813                                     82.4</w:t>
            </w:r>
          </w:p>
          <w:p w14:paraId="241A60E7" w14:textId="77777777" w:rsidR="00C76636" w:rsidRPr="00210107" w:rsidRDefault="00C76636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53C2A383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4495174" w14:textId="3044EE96" w:rsidR="00215D1E" w:rsidRDefault="00C76636" w:rsidP="00215D1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Implementation of Findings</w:t>
            </w:r>
          </w:p>
          <w:p w14:paraId="5F81BC9E" w14:textId="77777777" w:rsidR="00577912" w:rsidRDefault="00577912" w:rsidP="00577912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96E42" w14:textId="6B3498CF" w:rsidR="00377D9D" w:rsidRDefault="00377D9D" w:rsidP="00377D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77D9D">
              <w:rPr>
                <w:rFonts w:ascii="Arial" w:hAnsi="Arial" w:cs="Arial"/>
                <w:sz w:val="20"/>
                <w:szCs w:val="20"/>
              </w:rPr>
              <w:t xml:space="preserve">The increase in staff to meet student accommodation needs has </w:t>
            </w:r>
            <w:r w:rsidR="002613EB">
              <w:rPr>
                <w:rFonts w:ascii="Arial" w:hAnsi="Arial" w:cs="Arial"/>
                <w:sz w:val="20"/>
                <w:szCs w:val="20"/>
              </w:rPr>
              <w:t>enabled</w:t>
            </w:r>
            <w:r w:rsidRPr="00377D9D">
              <w:rPr>
                <w:rFonts w:ascii="Arial" w:hAnsi="Arial" w:cs="Arial"/>
                <w:sz w:val="20"/>
                <w:szCs w:val="20"/>
              </w:rPr>
              <w:t xml:space="preserve"> student completion rates for those using ACCESS services to stay within 3%-</w:t>
            </w:r>
            <w:r w:rsidR="006D17F0">
              <w:rPr>
                <w:rFonts w:ascii="Arial" w:hAnsi="Arial" w:cs="Arial"/>
                <w:sz w:val="20"/>
                <w:szCs w:val="20"/>
              </w:rPr>
              <w:t>6</w:t>
            </w:r>
            <w:r w:rsidRPr="00377D9D">
              <w:rPr>
                <w:rFonts w:ascii="Arial" w:hAnsi="Arial" w:cs="Arial"/>
                <w:sz w:val="20"/>
                <w:szCs w:val="20"/>
              </w:rPr>
              <w:t>% of the general education population. The additional staff ha</w:t>
            </w:r>
            <w:r w:rsidR="002613EB">
              <w:rPr>
                <w:rFonts w:ascii="Arial" w:hAnsi="Arial" w:cs="Arial"/>
                <w:sz w:val="20"/>
                <w:szCs w:val="20"/>
              </w:rPr>
              <w:t>ve</w:t>
            </w:r>
            <w:r w:rsidRPr="00377D9D">
              <w:rPr>
                <w:rFonts w:ascii="Arial" w:hAnsi="Arial" w:cs="Arial"/>
                <w:sz w:val="20"/>
                <w:szCs w:val="20"/>
              </w:rPr>
              <w:t xml:space="preserve"> been able to meet the needs of the increasing requests for accommodations and assistive technology. </w:t>
            </w:r>
          </w:p>
          <w:p w14:paraId="3BC6C6BA" w14:textId="76864CB3" w:rsidR="002613EB" w:rsidRPr="00377D9D" w:rsidRDefault="002613EB" w:rsidP="00377D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07BF8A" w14:textId="77777777" w:rsidR="007F4753" w:rsidRDefault="007F4753" w:rsidP="00096CBE">
      <w:pPr>
        <w:tabs>
          <w:tab w:val="left" w:pos="690"/>
          <w:tab w:val="left" w:pos="4575"/>
        </w:tabs>
      </w:pPr>
    </w:p>
    <w:sectPr w:rsidR="007F4753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267AC" w14:textId="77777777" w:rsidR="00DD48F3" w:rsidRDefault="00DD48F3" w:rsidP="0002489A">
      <w:pPr>
        <w:spacing w:after="0" w:line="240" w:lineRule="auto"/>
      </w:pPr>
      <w:r>
        <w:separator/>
      </w:r>
    </w:p>
  </w:endnote>
  <w:endnote w:type="continuationSeparator" w:id="0">
    <w:p w14:paraId="460A01CA" w14:textId="77777777" w:rsidR="00DD48F3" w:rsidRDefault="00DD48F3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AB21A3" w14:textId="77777777"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361AD7" w14:textId="77777777"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8EB39" w14:textId="77777777" w:rsidR="00DD48F3" w:rsidRDefault="00DD48F3" w:rsidP="0002489A">
      <w:pPr>
        <w:spacing w:after="0" w:line="240" w:lineRule="auto"/>
      </w:pPr>
      <w:r>
        <w:separator/>
      </w:r>
    </w:p>
  </w:footnote>
  <w:footnote w:type="continuationSeparator" w:id="0">
    <w:p w14:paraId="0B813CF0" w14:textId="77777777" w:rsidR="00DD48F3" w:rsidRDefault="00DD48F3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990F" w14:textId="77777777" w:rsidR="00761D43" w:rsidRDefault="00CE3C6C" w:rsidP="00173023">
    <w:pPr>
      <w:pStyle w:val="Header"/>
      <w:jc w:val="right"/>
      <w:rPr>
        <w:i/>
      </w:rPr>
    </w:pPr>
    <w:r>
      <w:rPr>
        <w:i/>
      </w:rPr>
      <w:t>Rev. 11</w:t>
    </w:r>
    <w:r w:rsidR="00F547BD">
      <w:rPr>
        <w:i/>
      </w:rPr>
      <w:t>/20</w:t>
    </w:r>
    <w:r>
      <w:rPr>
        <w:i/>
      </w:rPr>
      <w:t xml:space="preserve">20 </w:t>
    </w:r>
    <w:proofErr w:type="spellStart"/>
    <w:r>
      <w:rPr>
        <w:i/>
      </w:rPr>
      <w:t>bmb</w:t>
    </w:r>
    <w:proofErr w:type="spellEnd"/>
  </w:p>
  <w:p w14:paraId="59C2CEBB" w14:textId="77777777" w:rsidR="00CE3C6C" w:rsidRPr="00173023" w:rsidRDefault="00CE3C6C" w:rsidP="00173023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928"/>
    <w:multiLevelType w:val="hybridMultilevel"/>
    <w:tmpl w:val="77D48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E5"/>
    <w:rsid w:val="0000023D"/>
    <w:rsid w:val="00003BD5"/>
    <w:rsid w:val="00005552"/>
    <w:rsid w:val="0002489A"/>
    <w:rsid w:val="0005174E"/>
    <w:rsid w:val="00060532"/>
    <w:rsid w:val="00073053"/>
    <w:rsid w:val="00085A6C"/>
    <w:rsid w:val="00096CBE"/>
    <w:rsid w:val="000B44C0"/>
    <w:rsid w:val="000D070C"/>
    <w:rsid w:val="000E2EAF"/>
    <w:rsid w:val="000E709E"/>
    <w:rsid w:val="000F18FC"/>
    <w:rsid w:val="00110AAC"/>
    <w:rsid w:val="00116228"/>
    <w:rsid w:val="00145E5C"/>
    <w:rsid w:val="00173023"/>
    <w:rsid w:val="00195160"/>
    <w:rsid w:val="001A7A83"/>
    <w:rsid w:val="001D06C3"/>
    <w:rsid w:val="001D4BB0"/>
    <w:rsid w:val="001D5F36"/>
    <w:rsid w:val="001E0783"/>
    <w:rsid w:val="00206020"/>
    <w:rsid w:val="00210107"/>
    <w:rsid w:val="00215D1E"/>
    <w:rsid w:val="00236E81"/>
    <w:rsid w:val="00246C43"/>
    <w:rsid w:val="002613EB"/>
    <w:rsid w:val="002657C1"/>
    <w:rsid w:val="00285F40"/>
    <w:rsid w:val="002E1129"/>
    <w:rsid w:val="00366166"/>
    <w:rsid w:val="00375CB9"/>
    <w:rsid w:val="00375F6A"/>
    <w:rsid w:val="00377D9D"/>
    <w:rsid w:val="003A247B"/>
    <w:rsid w:val="0042342E"/>
    <w:rsid w:val="00426A74"/>
    <w:rsid w:val="00443EE7"/>
    <w:rsid w:val="0046276B"/>
    <w:rsid w:val="004C586B"/>
    <w:rsid w:val="004C7267"/>
    <w:rsid w:val="004E4AC0"/>
    <w:rsid w:val="004F2961"/>
    <w:rsid w:val="00502687"/>
    <w:rsid w:val="00503FB4"/>
    <w:rsid w:val="00517E19"/>
    <w:rsid w:val="00520C57"/>
    <w:rsid w:val="00565C7D"/>
    <w:rsid w:val="00577912"/>
    <w:rsid w:val="005A203A"/>
    <w:rsid w:val="005C60D2"/>
    <w:rsid w:val="005D66CF"/>
    <w:rsid w:val="006401FC"/>
    <w:rsid w:val="00671453"/>
    <w:rsid w:val="00684D89"/>
    <w:rsid w:val="006C375A"/>
    <w:rsid w:val="006D17F0"/>
    <w:rsid w:val="007052D4"/>
    <w:rsid w:val="0074119B"/>
    <w:rsid w:val="00746F2D"/>
    <w:rsid w:val="00761D43"/>
    <w:rsid w:val="00771E62"/>
    <w:rsid w:val="007B5A78"/>
    <w:rsid w:val="007C3F60"/>
    <w:rsid w:val="007D11B3"/>
    <w:rsid w:val="007E6D6E"/>
    <w:rsid w:val="007F4753"/>
    <w:rsid w:val="00823D59"/>
    <w:rsid w:val="008410E5"/>
    <w:rsid w:val="00847DBF"/>
    <w:rsid w:val="008814AD"/>
    <w:rsid w:val="008A27FB"/>
    <w:rsid w:val="008D6038"/>
    <w:rsid w:val="008E2C52"/>
    <w:rsid w:val="008F5D4C"/>
    <w:rsid w:val="00915FA8"/>
    <w:rsid w:val="009617FF"/>
    <w:rsid w:val="0098162F"/>
    <w:rsid w:val="00993C83"/>
    <w:rsid w:val="009A47B7"/>
    <w:rsid w:val="009E048C"/>
    <w:rsid w:val="009E3359"/>
    <w:rsid w:val="009F702B"/>
    <w:rsid w:val="00A22D6B"/>
    <w:rsid w:val="00A53228"/>
    <w:rsid w:val="00A85953"/>
    <w:rsid w:val="00AA4C7F"/>
    <w:rsid w:val="00AE4294"/>
    <w:rsid w:val="00AF243B"/>
    <w:rsid w:val="00AF4DD1"/>
    <w:rsid w:val="00B57654"/>
    <w:rsid w:val="00B65CE1"/>
    <w:rsid w:val="00B73855"/>
    <w:rsid w:val="00BA07FB"/>
    <w:rsid w:val="00BB48FF"/>
    <w:rsid w:val="00BC5B1C"/>
    <w:rsid w:val="00BE7B86"/>
    <w:rsid w:val="00BF0FB9"/>
    <w:rsid w:val="00C10B61"/>
    <w:rsid w:val="00C411E3"/>
    <w:rsid w:val="00C630AB"/>
    <w:rsid w:val="00C76636"/>
    <w:rsid w:val="00CE3C6C"/>
    <w:rsid w:val="00D063C9"/>
    <w:rsid w:val="00D21AC7"/>
    <w:rsid w:val="00D2274C"/>
    <w:rsid w:val="00D87631"/>
    <w:rsid w:val="00D920D6"/>
    <w:rsid w:val="00DD48F3"/>
    <w:rsid w:val="00E87527"/>
    <w:rsid w:val="00EA1C0D"/>
    <w:rsid w:val="00EE1456"/>
    <w:rsid w:val="00F23F68"/>
    <w:rsid w:val="00F25D44"/>
    <w:rsid w:val="00F547BD"/>
    <w:rsid w:val="00F7391A"/>
    <w:rsid w:val="00F809C1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CB2E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9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9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Alicia Huppe</cp:lastModifiedBy>
  <cp:revision>7</cp:revision>
  <cp:lastPrinted>2018-09-04T19:27:00Z</cp:lastPrinted>
  <dcterms:created xsi:type="dcterms:W3CDTF">2023-02-16T15:34:00Z</dcterms:created>
  <dcterms:modified xsi:type="dcterms:W3CDTF">2023-02-24T21:55:00Z</dcterms:modified>
</cp:coreProperties>
</file>