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7865"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7D3D7A01"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3A7E64DD"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1DF03D71" w14:textId="77777777" w:rsidR="002657C1" w:rsidRPr="00671453" w:rsidRDefault="002657C1" w:rsidP="002657C1">
      <w:pPr>
        <w:spacing w:after="0" w:line="242" w:lineRule="exact"/>
        <w:ind w:left="-45" w:right="240"/>
        <w:rPr>
          <w:rFonts w:ascii="Arial" w:hAnsi="Arial" w:cs="Arial"/>
          <w:b/>
        </w:rPr>
      </w:pPr>
    </w:p>
    <w:p w14:paraId="2471D2A6" w14:textId="0354B8FB"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432A87">
        <w:rPr>
          <w:rFonts w:ascii="Arial" w:hAnsi="Arial" w:cs="Arial"/>
          <w:b/>
        </w:rPr>
        <w:t xml:space="preserve"> </w:t>
      </w:r>
      <w:r w:rsidR="00452D73">
        <w:rPr>
          <w:rFonts w:ascii="Arial" w:hAnsi="Arial" w:cs="Arial"/>
          <w:b/>
        </w:rPr>
        <w:t>02.27.23</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Unit:</w:t>
      </w:r>
      <w:r w:rsidR="00B65E21">
        <w:rPr>
          <w:rFonts w:ascii="Arial" w:hAnsi="Arial" w:cs="Arial"/>
          <w:b/>
        </w:rPr>
        <w:t xml:space="preserve"> </w:t>
      </w:r>
      <w:r w:rsidR="00B65E21" w:rsidRPr="00B65E21">
        <w:rPr>
          <w:rFonts w:ascii="Arial" w:hAnsi="Arial" w:cs="Arial"/>
        </w:rPr>
        <w:t>Advising</w:t>
      </w:r>
      <w:r w:rsidR="002657C1" w:rsidRPr="007B5A78">
        <w:rPr>
          <w:rFonts w:ascii="Arial" w:hAnsi="Arial" w:cs="Arial"/>
          <w:b/>
        </w:rPr>
        <w:t xml:space="preserve">   </w:t>
      </w:r>
      <w:r w:rsidR="00C10B61">
        <w:rPr>
          <w:rFonts w:ascii="Arial" w:hAnsi="Arial" w:cs="Arial"/>
          <w:b/>
        </w:rPr>
        <w:t xml:space="preserve">    </w:t>
      </w:r>
    </w:p>
    <w:p w14:paraId="3DAADF6E" w14:textId="090D308E"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B65E21">
        <w:rPr>
          <w:rFonts w:ascii="Arial" w:hAnsi="Arial" w:cs="Arial"/>
        </w:rPr>
        <w:t xml:space="preserve"> Dr. </w:t>
      </w:r>
      <w:r w:rsidR="00CE5D90">
        <w:rPr>
          <w:rFonts w:ascii="Arial" w:hAnsi="Arial" w:cs="Arial"/>
        </w:rPr>
        <w:t>Kirk D. Lee</w:t>
      </w:r>
      <w:r w:rsidR="00CE5D90">
        <w:rPr>
          <w:rFonts w:ascii="Arial" w:hAnsi="Arial" w:cs="Arial"/>
        </w:rPr>
        <w:tab/>
      </w:r>
      <w:r w:rsidR="00CE5D90">
        <w:rPr>
          <w:rFonts w:ascii="Arial" w:hAnsi="Arial" w:cs="Arial"/>
        </w:rPr>
        <w:tab/>
      </w:r>
      <w:r w:rsidRPr="00210107">
        <w:rPr>
          <w:rFonts w:ascii="Arial" w:hAnsi="Arial" w:cs="Arial"/>
          <w:b/>
        </w:rPr>
        <w:t>Contact email:</w:t>
      </w:r>
      <w:r w:rsidR="00B65E21">
        <w:rPr>
          <w:rFonts w:ascii="Arial" w:hAnsi="Arial" w:cs="Arial"/>
          <w:b/>
        </w:rPr>
        <w:t xml:space="preserve">  </w:t>
      </w:r>
      <w:r w:rsidR="00CE5D90">
        <w:rPr>
          <w:rFonts w:ascii="Arial" w:hAnsi="Arial" w:cs="Arial"/>
        </w:rPr>
        <w:t>kdlee</w:t>
      </w:r>
      <w:r w:rsidR="00B65E21" w:rsidRPr="00B65E21">
        <w:rPr>
          <w:rFonts w:ascii="Arial" w:hAnsi="Arial" w:cs="Arial"/>
        </w:rPr>
        <w:t>@collin.edu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Contact phone:</w:t>
      </w:r>
      <w:r w:rsidR="00B65E21">
        <w:rPr>
          <w:rFonts w:ascii="Arial" w:hAnsi="Arial" w:cs="Arial"/>
          <w:b/>
        </w:rPr>
        <w:t xml:space="preserve"> </w:t>
      </w:r>
      <w:r w:rsidR="00B65E21" w:rsidRPr="00B65E21">
        <w:rPr>
          <w:rFonts w:ascii="Arial" w:hAnsi="Arial" w:cs="Arial"/>
        </w:rPr>
        <w:t>972.377.17</w:t>
      </w:r>
      <w:r w:rsidR="00CE5D90">
        <w:rPr>
          <w:rFonts w:ascii="Arial" w:hAnsi="Arial" w:cs="Arial"/>
        </w:rPr>
        <w:t>93</w:t>
      </w:r>
      <w:r w:rsidRPr="00210107">
        <w:rPr>
          <w:rFonts w:ascii="Arial" w:hAnsi="Arial" w:cs="Arial"/>
          <w:b/>
        </w:rPr>
        <w:t xml:space="preserve"> </w:t>
      </w:r>
      <w:r w:rsidR="00C10B61">
        <w:rPr>
          <w:rFonts w:ascii="Arial" w:hAnsi="Arial" w:cs="Arial"/>
        </w:rPr>
        <w:t xml:space="preserve"> </w:t>
      </w:r>
      <w:r w:rsidRPr="00210107">
        <w:rPr>
          <w:rFonts w:ascii="Arial" w:hAnsi="Arial" w:cs="Arial"/>
        </w:rPr>
        <w:t xml:space="preserve">  </w:t>
      </w:r>
    </w:p>
    <w:p w14:paraId="5F4A507B"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21824A2D"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40FE7080"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7C2EB4F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26E15919"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2E23E72E"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3268940C"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71045D02"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4F710EF6"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3F57C94F"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25D2C2A7"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7CC83DC0" w14:textId="77777777" w:rsidTr="00B65E21">
        <w:trPr>
          <w:trHeight w:hRule="exact" w:val="170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1E645B18" w14:textId="77777777" w:rsidR="00B65E21" w:rsidRPr="00003BD5" w:rsidRDefault="00B65E21" w:rsidP="0047771E">
            <w:pPr>
              <w:pStyle w:val="NoSpacing"/>
              <w:ind w:left="180"/>
              <w:rPr>
                <w:rFonts w:ascii="Arial" w:hAnsi="Arial" w:cs="Arial"/>
                <w:b/>
                <w:sz w:val="20"/>
                <w:szCs w:val="20"/>
              </w:rPr>
            </w:pPr>
            <w:r w:rsidRPr="00556E2E">
              <w:rPr>
                <w:color w:val="002060"/>
              </w:rPr>
              <w:t>Overall student satisfaction with advising visits will increase</w:t>
            </w:r>
          </w:p>
          <w:p w14:paraId="0B076AC8" w14:textId="77777777" w:rsidR="00F25D44" w:rsidRPr="00210107" w:rsidRDefault="00F25D44" w:rsidP="0047771E">
            <w:pPr>
              <w:spacing w:after="0" w:line="240" w:lineRule="auto"/>
              <w:ind w:left="180" w:right="-20"/>
              <w:rPr>
                <w:rFonts w:ascii="Arial" w:eastAsia="Franklin Gothic Book" w:hAnsi="Arial" w:cs="Arial"/>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69843F0" w14:textId="77777777" w:rsidR="009F702B" w:rsidRPr="00210107" w:rsidRDefault="00AD3980" w:rsidP="00AD3980">
            <w:pPr>
              <w:spacing w:after="0" w:line="240" w:lineRule="auto"/>
              <w:ind w:left="86" w:right="-20"/>
              <w:jc w:val="both"/>
              <w:rPr>
                <w:rFonts w:ascii="Arial" w:eastAsia="Franklin Gothic Book" w:hAnsi="Arial" w:cs="Arial"/>
                <w:sz w:val="20"/>
                <w:szCs w:val="20"/>
              </w:rPr>
            </w:pPr>
            <w:r>
              <w:rPr>
                <w:rFonts w:cstheme="minorHAnsi"/>
                <w:color w:val="002060"/>
              </w:rPr>
              <w:t>QLess survey results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A731A65" w14:textId="77777777" w:rsidR="009F702B" w:rsidRPr="00210107" w:rsidRDefault="00B65E21" w:rsidP="0047771E">
            <w:pPr>
              <w:pStyle w:val="NoSpacing"/>
              <w:ind w:left="163"/>
              <w:rPr>
                <w:rFonts w:ascii="Arial" w:hAnsi="Arial" w:cs="Arial"/>
                <w:sz w:val="20"/>
                <w:szCs w:val="20"/>
              </w:rPr>
            </w:pPr>
            <w:r w:rsidRPr="00556E2E">
              <w:rPr>
                <w:color w:val="002060"/>
              </w:rPr>
              <w:t xml:space="preserve">For the end of the 2019 calendar year Advising Customer Experience survey results for </w:t>
            </w:r>
            <w:r w:rsidRPr="00196BE6">
              <w:rPr>
                <w:color w:val="002060"/>
              </w:rPr>
              <w:t>question</w:t>
            </w:r>
            <w:r w:rsidR="00196BE6">
              <w:rPr>
                <w:color w:val="002060"/>
              </w:rPr>
              <w:t>:</w:t>
            </w:r>
            <w:r w:rsidRPr="00556E2E">
              <w:rPr>
                <w:i/>
                <w:color w:val="002060"/>
              </w:rPr>
              <w:t xml:space="preserve"> Overall I am satisfied with the service I received today</w:t>
            </w:r>
            <w:r w:rsidRPr="00556E2E">
              <w:rPr>
                <w:color w:val="002060"/>
              </w:rPr>
              <w:t>, will increase from 83% from the 2018 calendar year to 90%</w:t>
            </w:r>
          </w:p>
        </w:tc>
      </w:tr>
      <w:tr w:rsidR="00D87631" w:rsidRPr="00210107" w14:paraId="0CB2008F" w14:textId="77777777" w:rsidTr="0047771E">
        <w:trPr>
          <w:trHeight w:hRule="exact" w:val="1847"/>
        </w:trPr>
        <w:tc>
          <w:tcPr>
            <w:tcW w:w="4140" w:type="dxa"/>
            <w:tcBorders>
              <w:top w:val="single" w:sz="8" w:space="0" w:color="4F81BD"/>
              <w:left w:val="single" w:sz="8" w:space="0" w:color="4F81BD"/>
              <w:bottom w:val="single" w:sz="8" w:space="0" w:color="4F81BD"/>
              <w:right w:val="single" w:sz="8" w:space="0" w:color="4F81BD"/>
            </w:tcBorders>
          </w:tcPr>
          <w:p w14:paraId="28F5DD45" w14:textId="77777777" w:rsidR="00D87631" w:rsidRPr="00210107" w:rsidRDefault="00BA47CA" w:rsidP="00AD3980">
            <w:pPr>
              <w:spacing w:after="0" w:line="240" w:lineRule="auto"/>
              <w:ind w:left="180" w:right="-20"/>
              <w:rPr>
                <w:rFonts w:ascii="Arial" w:eastAsia="Franklin Gothic Book" w:hAnsi="Arial" w:cs="Arial"/>
                <w:sz w:val="20"/>
                <w:szCs w:val="20"/>
              </w:rPr>
            </w:pPr>
            <w:r w:rsidRPr="003673F9">
              <w:rPr>
                <w:color w:val="002060"/>
              </w:rPr>
              <w:t xml:space="preserve">Continue to work towards previous goal to reduce the average wait time to access an advisor during “Peak Time” advising (July, August and January).  </w:t>
            </w:r>
          </w:p>
        </w:tc>
        <w:tc>
          <w:tcPr>
            <w:tcW w:w="4782" w:type="dxa"/>
            <w:tcBorders>
              <w:top w:val="single" w:sz="8" w:space="0" w:color="4F81BD"/>
              <w:left w:val="single" w:sz="8" w:space="0" w:color="4F81BD"/>
              <w:bottom w:val="single" w:sz="8" w:space="0" w:color="4F81BD"/>
              <w:right w:val="single" w:sz="8" w:space="0" w:color="4F81BD"/>
            </w:tcBorders>
          </w:tcPr>
          <w:p w14:paraId="7B3676E8" w14:textId="77777777" w:rsidR="00D87631" w:rsidRPr="00210107" w:rsidRDefault="00BA47CA" w:rsidP="0047771E">
            <w:pPr>
              <w:spacing w:after="0" w:line="240" w:lineRule="auto"/>
              <w:ind w:left="86" w:right="-20"/>
              <w:rPr>
                <w:rFonts w:ascii="Arial" w:eastAsia="Franklin Gothic Book" w:hAnsi="Arial" w:cs="Arial"/>
                <w:sz w:val="20"/>
                <w:szCs w:val="20"/>
              </w:rPr>
            </w:pPr>
            <w:r w:rsidRPr="003673F9">
              <w:rPr>
                <w:rFonts w:cstheme="minorHAnsi"/>
                <w:color w:val="002060"/>
              </w:rPr>
              <w:t>QLess data</w:t>
            </w:r>
          </w:p>
        </w:tc>
        <w:tc>
          <w:tcPr>
            <w:tcW w:w="4800" w:type="dxa"/>
            <w:tcBorders>
              <w:top w:val="single" w:sz="8" w:space="0" w:color="4F81BD"/>
              <w:left w:val="single" w:sz="8" w:space="0" w:color="4F81BD"/>
              <w:bottom w:val="single" w:sz="8" w:space="0" w:color="4F81BD"/>
              <w:right w:val="single" w:sz="8" w:space="0" w:color="4F81BD"/>
            </w:tcBorders>
          </w:tcPr>
          <w:p w14:paraId="737C9020" w14:textId="77777777" w:rsidR="00D87631" w:rsidRPr="00210107" w:rsidRDefault="00BA47CA" w:rsidP="0047771E">
            <w:pPr>
              <w:pStyle w:val="NoSpacing"/>
              <w:ind w:left="163"/>
              <w:rPr>
                <w:rFonts w:ascii="Arial" w:hAnsi="Arial" w:cs="Arial"/>
                <w:sz w:val="20"/>
                <w:szCs w:val="20"/>
              </w:rPr>
            </w:pPr>
            <w:r w:rsidRPr="003673F9">
              <w:rPr>
                <w:color w:val="002060"/>
              </w:rPr>
              <w:t>During “Peak Time” advising time (July, August and January) student wait</w:t>
            </w:r>
            <w:r w:rsidR="00196BE6">
              <w:rPr>
                <w:color w:val="002060"/>
              </w:rPr>
              <w:t xml:space="preserve"> time will average</w:t>
            </w:r>
            <w:r w:rsidRPr="003673F9">
              <w:rPr>
                <w:color w:val="002060"/>
              </w:rPr>
              <w:t xml:space="preserve"> 27 minutes or less to access an advisor.</w:t>
            </w:r>
            <w:r w:rsidR="00AD3980">
              <w:rPr>
                <w:color w:val="002060"/>
              </w:rPr>
              <w:t xml:space="preserve">  This will be a reduction from current</w:t>
            </w:r>
            <w:r w:rsidR="00196BE6">
              <w:rPr>
                <w:color w:val="002060"/>
              </w:rPr>
              <w:t xml:space="preserve"> average</w:t>
            </w:r>
            <w:r w:rsidR="00AD3980">
              <w:rPr>
                <w:color w:val="002060"/>
              </w:rPr>
              <w:t xml:space="preserve"> wait time of 33 minutes.</w:t>
            </w:r>
          </w:p>
        </w:tc>
      </w:tr>
      <w:tr w:rsidR="00F25D44" w:rsidRPr="00210107" w14:paraId="020968AB" w14:textId="77777777" w:rsidTr="00AD3980">
        <w:trPr>
          <w:trHeight w:hRule="exact" w:val="1361"/>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3CC14D7" w14:textId="77777777" w:rsidR="00F25D44" w:rsidRPr="00210107" w:rsidRDefault="00BA47CA" w:rsidP="0047771E">
            <w:pPr>
              <w:pStyle w:val="NoSpacing"/>
              <w:ind w:left="180"/>
              <w:rPr>
                <w:rFonts w:ascii="Arial" w:hAnsi="Arial" w:cs="Arial"/>
                <w:sz w:val="20"/>
                <w:szCs w:val="20"/>
              </w:rPr>
            </w:pPr>
            <w:r w:rsidRPr="00055150">
              <w:rPr>
                <w:color w:val="002060"/>
              </w:rPr>
              <w:t>Increase the number / percentage of Cougar Compass degree audits completed by students.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74839FF" w14:textId="77777777" w:rsidR="00F25D44" w:rsidRPr="00210107" w:rsidRDefault="00BA47CA" w:rsidP="0047771E">
            <w:pPr>
              <w:pStyle w:val="NoSpacing"/>
              <w:ind w:left="86"/>
              <w:rPr>
                <w:rFonts w:ascii="Arial" w:hAnsi="Arial" w:cs="Arial"/>
                <w:sz w:val="20"/>
                <w:szCs w:val="20"/>
              </w:rPr>
            </w:pPr>
            <w:r w:rsidRPr="00055150">
              <w:rPr>
                <w:rFonts w:eastAsia="Franklin Gothic Book" w:cs="Franklin Gothic Book"/>
                <w:color w:val="002060"/>
              </w:rPr>
              <w:t>Cougar Compass data</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8E5C6D3" w14:textId="77777777" w:rsidR="009F702B" w:rsidRPr="00210107" w:rsidRDefault="00BA47CA" w:rsidP="0047771E">
            <w:pPr>
              <w:pStyle w:val="NoSpacing"/>
              <w:ind w:left="163"/>
              <w:rPr>
                <w:rFonts w:ascii="Arial" w:hAnsi="Arial" w:cs="Arial"/>
                <w:sz w:val="20"/>
                <w:szCs w:val="20"/>
              </w:rPr>
            </w:pPr>
            <w:r w:rsidRPr="00055150">
              <w:rPr>
                <w:color w:val="002060"/>
              </w:rPr>
              <w:t xml:space="preserve">At the end of the 2019 calendar year the percentage of Cougar Compass degree audits </w:t>
            </w:r>
            <w:r w:rsidR="00AD3980">
              <w:rPr>
                <w:color w:val="002060"/>
              </w:rPr>
              <w:t xml:space="preserve">run by students </w:t>
            </w:r>
            <w:r w:rsidRPr="00055150">
              <w:rPr>
                <w:color w:val="002060"/>
              </w:rPr>
              <w:t>will increase from 34% for the year to 50% for the year.</w:t>
            </w:r>
          </w:p>
        </w:tc>
      </w:tr>
    </w:tbl>
    <w:p w14:paraId="3E011DB2" w14:textId="77777777" w:rsidR="00F547BD" w:rsidRDefault="00F547BD" w:rsidP="00517E19">
      <w:pPr>
        <w:pStyle w:val="NoSpacing"/>
        <w:rPr>
          <w:rFonts w:ascii="Arial" w:hAnsi="Arial" w:cs="Arial"/>
          <w:b/>
          <w:bCs/>
          <w:spacing w:val="-1"/>
          <w:position w:val="1"/>
        </w:rPr>
      </w:pPr>
    </w:p>
    <w:p w14:paraId="4BDD0AA2"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lastRenderedPageBreak/>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79EDD8F1"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34A88B9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40FEF073"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0F5B3D27"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3A45BEAF"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20B11E49"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45E3A0C6"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489BA5FE"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163BE7D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133A633A"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64D88F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FD510E" w14:textId="77777777" w:rsidR="00B65E21" w:rsidRPr="00003BD5" w:rsidRDefault="00F9197F" w:rsidP="00B65E21">
            <w:pPr>
              <w:pStyle w:val="NoSpacing"/>
              <w:numPr>
                <w:ilvl w:val="0"/>
                <w:numId w:val="1"/>
              </w:numPr>
              <w:rPr>
                <w:rFonts w:ascii="Arial" w:hAnsi="Arial" w:cs="Arial"/>
                <w:b/>
                <w:sz w:val="20"/>
                <w:szCs w:val="20"/>
              </w:rPr>
            </w:pPr>
            <w:r w:rsidRPr="00210107">
              <w:rPr>
                <w:rFonts w:ascii="Arial" w:hAnsi="Arial" w:cs="Arial"/>
                <w:b/>
                <w:sz w:val="20"/>
                <w:szCs w:val="20"/>
              </w:rPr>
              <w:t>Outcome #1</w:t>
            </w:r>
            <w:r w:rsidR="00B65E21">
              <w:rPr>
                <w:rFonts w:ascii="Arial" w:hAnsi="Arial" w:cs="Arial"/>
                <w:b/>
                <w:sz w:val="20"/>
                <w:szCs w:val="20"/>
              </w:rPr>
              <w:t xml:space="preserve">  </w:t>
            </w:r>
            <w:r w:rsidR="00B65E21" w:rsidRPr="00556E2E">
              <w:rPr>
                <w:color w:val="002060"/>
              </w:rPr>
              <w:t>Overall student satisfaction with advising visits will increase</w:t>
            </w:r>
          </w:p>
          <w:p w14:paraId="2E1B6DA3" w14:textId="77777777" w:rsidR="00F9197F" w:rsidRPr="00210107" w:rsidRDefault="00F9197F" w:rsidP="00B65E21">
            <w:pPr>
              <w:pStyle w:val="NoSpacing"/>
              <w:ind w:left="720"/>
              <w:rPr>
                <w:rFonts w:ascii="Arial" w:hAnsi="Arial" w:cs="Arial"/>
                <w:b/>
                <w:sz w:val="20"/>
                <w:szCs w:val="20"/>
              </w:rPr>
            </w:pPr>
          </w:p>
          <w:p w14:paraId="6D49E11A" w14:textId="77777777" w:rsidR="00F9197F" w:rsidRPr="00210107" w:rsidRDefault="00F9197F" w:rsidP="00F9197F">
            <w:pPr>
              <w:pStyle w:val="NoSpacing"/>
              <w:rPr>
                <w:rFonts w:ascii="Arial" w:hAnsi="Arial" w:cs="Arial"/>
                <w:sz w:val="20"/>
                <w:szCs w:val="20"/>
              </w:rPr>
            </w:pPr>
          </w:p>
        </w:tc>
      </w:tr>
      <w:tr w:rsidR="00F9197F" w:rsidRPr="00210107" w14:paraId="7CFF5579"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8B985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315FEEB7" w14:textId="77777777" w:rsidR="00F9197F" w:rsidRPr="00210107" w:rsidRDefault="00B65E21" w:rsidP="0047771E">
            <w:pPr>
              <w:pStyle w:val="NoSpacing"/>
              <w:rPr>
                <w:rFonts w:ascii="Arial" w:hAnsi="Arial" w:cs="Arial"/>
                <w:sz w:val="20"/>
                <w:szCs w:val="20"/>
              </w:rPr>
            </w:pPr>
            <w:r w:rsidRPr="00556E2E">
              <w:rPr>
                <w:rFonts w:cstheme="minorHAnsi"/>
                <w:color w:val="002060"/>
              </w:rPr>
              <w:t xml:space="preserve">QLess </w:t>
            </w:r>
            <w:r w:rsidR="0047771E">
              <w:rPr>
                <w:rFonts w:cstheme="minorHAnsi"/>
                <w:color w:val="002060"/>
              </w:rPr>
              <w:t xml:space="preserve">survey </w:t>
            </w:r>
            <w:r w:rsidR="00AD3980">
              <w:rPr>
                <w:rFonts w:cstheme="minorHAnsi"/>
                <w:color w:val="002060"/>
              </w:rPr>
              <w:t>results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55A34B"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186652A9" w14:textId="77777777" w:rsidR="00F9197F" w:rsidRPr="00210107" w:rsidRDefault="00B65E21" w:rsidP="00F9197F">
            <w:pPr>
              <w:pStyle w:val="NoSpacing"/>
              <w:rPr>
                <w:rFonts w:ascii="Arial" w:hAnsi="Arial" w:cs="Arial"/>
                <w:b/>
                <w:sz w:val="20"/>
                <w:szCs w:val="20"/>
              </w:rPr>
            </w:pPr>
            <w:r w:rsidRPr="00556E2E">
              <w:rPr>
                <w:color w:val="002060"/>
              </w:rPr>
              <w:t xml:space="preserve">For the end of the 2019 calendar year Advising Customer Experience survey results for </w:t>
            </w:r>
            <w:r w:rsidRPr="0047771E">
              <w:rPr>
                <w:color w:val="002060"/>
              </w:rPr>
              <w:t>question</w:t>
            </w:r>
            <w:r w:rsidR="00196BE6">
              <w:rPr>
                <w:color w:val="002060"/>
              </w:rPr>
              <w:t>:</w:t>
            </w:r>
            <w:r w:rsidRPr="00556E2E">
              <w:rPr>
                <w:i/>
                <w:color w:val="002060"/>
              </w:rPr>
              <w:t xml:space="preserve"> Overall I am satisfied with the service I received today</w:t>
            </w:r>
            <w:r w:rsidRPr="00556E2E">
              <w:rPr>
                <w:color w:val="002060"/>
              </w:rPr>
              <w:t>, will increase from 83% from the 2018 calendar year to 90%</w:t>
            </w:r>
          </w:p>
          <w:p w14:paraId="287DCBC7" w14:textId="77777777" w:rsidR="00F9197F" w:rsidRPr="00210107" w:rsidRDefault="00F9197F" w:rsidP="00F9197F">
            <w:pPr>
              <w:pStyle w:val="NoSpacing"/>
              <w:rPr>
                <w:rFonts w:ascii="Arial" w:hAnsi="Arial" w:cs="Arial"/>
                <w:sz w:val="20"/>
                <w:szCs w:val="20"/>
              </w:rPr>
            </w:pPr>
          </w:p>
        </w:tc>
      </w:tr>
      <w:tr w:rsidR="004C7267" w:rsidRPr="00210107" w14:paraId="7EBF3888"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7F0E65"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27583A3F" w14:textId="77777777" w:rsidR="004C7267" w:rsidRPr="00210107" w:rsidRDefault="00746F2D" w:rsidP="00F9197F">
            <w:pPr>
              <w:pStyle w:val="NoSpacing"/>
              <w:rPr>
                <w:rFonts w:ascii="Arial" w:hAnsi="Arial" w:cs="Arial"/>
                <w:b/>
                <w:sz w:val="20"/>
                <w:szCs w:val="20"/>
              </w:rPr>
            </w:pPr>
            <w:r w:rsidRPr="00210107">
              <w:rPr>
                <w:rFonts w:ascii="Arial" w:hAnsi="Arial" w:cs="Arial"/>
                <w:b/>
                <w:sz w:val="20"/>
                <w:szCs w:val="20"/>
              </w:rPr>
              <w:t xml:space="preserve"> </w:t>
            </w:r>
            <w:r w:rsidR="00B65E21" w:rsidRPr="00556E2E">
              <w:rPr>
                <w:rFonts w:cstheme="minorHAnsi"/>
                <w:color w:val="002060"/>
              </w:rPr>
              <w:t>Through implementation of the Appreciative Advising model (http://www.appreciativeadvising.net/), student satisfaction with the student advising experience will improve.</w:t>
            </w:r>
          </w:p>
        </w:tc>
      </w:tr>
      <w:tr w:rsidR="00A53228" w:rsidRPr="00210107" w14:paraId="6D38D385" w14:textId="77777777" w:rsidTr="00AD3980">
        <w:trPr>
          <w:trHeight w:val="132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E8BBB6"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6375E3CC" w14:textId="77777777" w:rsidR="00B65E21" w:rsidRDefault="00B65E21" w:rsidP="00B65E21">
            <w:pPr>
              <w:pStyle w:val="NoSpacing"/>
              <w:rPr>
                <w:rFonts w:ascii="Arial" w:hAnsi="Arial" w:cs="Arial"/>
                <w:b/>
                <w:sz w:val="20"/>
                <w:szCs w:val="20"/>
              </w:rPr>
            </w:pPr>
          </w:p>
          <w:p w14:paraId="3CB0E92B" w14:textId="77777777" w:rsidR="00B65E21" w:rsidRPr="0067360C" w:rsidRDefault="0067033E" w:rsidP="00B65E21">
            <w:pPr>
              <w:pStyle w:val="ListParagraph"/>
              <w:ind w:left="360"/>
              <w:rPr>
                <w:rFonts w:cstheme="minorHAnsi"/>
                <w:color w:val="002060"/>
              </w:rPr>
            </w:pPr>
            <w:r>
              <w:rPr>
                <w:rFonts w:cstheme="minorHAnsi"/>
                <w:color w:val="002060"/>
              </w:rPr>
              <w:t xml:space="preserve">QLess survey question: </w:t>
            </w:r>
            <w:r w:rsidRPr="0067033E">
              <w:rPr>
                <w:b/>
                <w:i/>
                <w:color w:val="002060"/>
              </w:rPr>
              <w:t>Overall I am satisfied with the service I received today.</w:t>
            </w:r>
          </w:p>
          <w:tbl>
            <w:tblPr>
              <w:tblStyle w:val="TableGrid"/>
              <w:tblW w:w="0" w:type="auto"/>
              <w:tblInd w:w="360" w:type="dxa"/>
              <w:tblLayout w:type="fixed"/>
              <w:tblLook w:val="04A0" w:firstRow="1" w:lastRow="0" w:firstColumn="1" w:lastColumn="0" w:noHBand="0" w:noVBand="1"/>
            </w:tblPr>
            <w:tblGrid>
              <w:gridCol w:w="1075"/>
              <w:gridCol w:w="5707"/>
              <w:gridCol w:w="5708"/>
            </w:tblGrid>
            <w:tr w:rsidR="00B65E21" w:rsidRPr="0067360C" w14:paraId="1E132FB7" w14:textId="77777777" w:rsidTr="007F3EF9">
              <w:tc>
                <w:tcPr>
                  <w:tcW w:w="1075" w:type="dxa"/>
                </w:tcPr>
                <w:p w14:paraId="69EDEB37" w14:textId="77777777" w:rsidR="00B65E21" w:rsidRPr="0067360C" w:rsidRDefault="00B65E21" w:rsidP="00B65E21">
                  <w:pPr>
                    <w:jc w:val="center"/>
                    <w:rPr>
                      <w:rFonts w:cstheme="minorHAnsi"/>
                      <w:b/>
                      <w:color w:val="002060"/>
                    </w:rPr>
                  </w:pPr>
                  <w:r w:rsidRPr="0067360C">
                    <w:rPr>
                      <w:rFonts w:cstheme="minorHAnsi"/>
                      <w:b/>
                      <w:color w:val="002060"/>
                    </w:rPr>
                    <w:t>Year</w:t>
                  </w:r>
                </w:p>
              </w:tc>
              <w:tc>
                <w:tcPr>
                  <w:tcW w:w="5707" w:type="dxa"/>
                </w:tcPr>
                <w:p w14:paraId="67657997" w14:textId="77777777" w:rsidR="00B65E21" w:rsidRPr="0067360C" w:rsidRDefault="0067033E" w:rsidP="00B65E21">
                  <w:pPr>
                    <w:jc w:val="center"/>
                    <w:rPr>
                      <w:rFonts w:cstheme="minorHAnsi"/>
                      <w:b/>
                      <w:color w:val="002060"/>
                    </w:rPr>
                  </w:pPr>
                  <w:r>
                    <w:rPr>
                      <w:rFonts w:cstheme="minorHAnsi"/>
                      <w:b/>
                      <w:color w:val="002060"/>
                    </w:rPr>
                    <w:t>Total QLess Responses</w:t>
                  </w:r>
                </w:p>
              </w:tc>
              <w:tc>
                <w:tcPr>
                  <w:tcW w:w="5708" w:type="dxa"/>
                </w:tcPr>
                <w:p w14:paraId="3AF6832D" w14:textId="77777777" w:rsidR="00B65E21" w:rsidRPr="0067360C" w:rsidRDefault="0067033E" w:rsidP="00B65E21">
                  <w:pPr>
                    <w:jc w:val="center"/>
                    <w:rPr>
                      <w:rFonts w:cstheme="minorHAnsi"/>
                      <w:b/>
                      <w:color w:val="002060"/>
                    </w:rPr>
                  </w:pPr>
                  <w:r>
                    <w:rPr>
                      <w:rFonts w:cstheme="minorHAnsi"/>
                      <w:b/>
                      <w:color w:val="002060"/>
                    </w:rPr>
                    <w:t>Overall percentage affirming satisfaction</w:t>
                  </w:r>
                </w:p>
              </w:tc>
            </w:tr>
            <w:tr w:rsidR="00B65E21" w:rsidRPr="0067360C" w14:paraId="12600879" w14:textId="77777777" w:rsidTr="007F3EF9">
              <w:tc>
                <w:tcPr>
                  <w:tcW w:w="1075" w:type="dxa"/>
                </w:tcPr>
                <w:p w14:paraId="611A3534" w14:textId="77777777" w:rsidR="00B65E21" w:rsidRPr="0067360C" w:rsidRDefault="00B65E21" w:rsidP="00B65E21">
                  <w:pPr>
                    <w:rPr>
                      <w:rFonts w:cstheme="minorHAnsi"/>
                      <w:color w:val="002060"/>
                    </w:rPr>
                  </w:pPr>
                  <w:r w:rsidRPr="0067360C">
                    <w:rPr>
                      <w:rFonts w:cstheme="minorHAnsi"/>
                      <w:color w:val="002060"/>
                    </w:rPr>
                    <w:t>2018</w:t>
                  </w:r>
                </w:p>
              </w:tc>
              <w:tc>
                <w:tcPr>
                  <w:tcW w:w="5707" w:type="dxa"/>
                </w:tcPr>
                <w:p w14:paraId="4577EECC" w14:textId="77777777" w:rsidR="00B65E21" w:rsidRPr="0067360C" w:rsidRDefault="00B65E21" w:rsidP="00B65E21">
                  <w:pPr>
                    <w:jc w:val="center"/>
                    <w:rPr>
                      <w:rFonts w:cstheme="minorHAnsi"/>
                      <w:color w:val="002060"/>
                    </w:rPr>
                  </w:pPr>
                  <w:r w:rsidRPr="0067360C">
                    <w:rPr>
                      <w:rFonts w:cstheme="minorHAnsi"/>
                      <w:color w:val="002060"/>
                    </w:rPr>
                    <w:t>2162</w:t>
                  </w:r>
                </w:p>
              </w:tc>
              <w:tc>
                <w:tcPr>
                  <w:tcW w:w="5708" w:type="dxa"/>
                </w:tcPr>
                <w:p w14:paraId="2510D8F5" w14:textId="77777777" w:rsidR="00B65E21" w:rsidRPr="0067360C" w:rsidRDefault="00B65E21" w:rsidP="00B65E21">
                  <w:pPr>
                    <w:jc w:val="center"/>
                    <w:rPr>
                      <w:rFonts w:cstheme="minorHAnsi"/>
                      <w:color w:val="002060"/>
                    </w:rPr>
                  </w:pPr>
                  <w:r w:rsidRPr="0067360C">
                    <w:rPr>
                      <w:rFonts w:cstheme="minorHAnsi"/>
                      <w:color w:val="002060"/>
                    </w:rPr>
                    <w:t>83%</w:t>
                  </w:r>
                </w:p>
              </w:tc>
            </w:tr>
            <w:tr w:rsidR="00B65E21" w:rsidRPr="0067360C" w14:paraId="6A263A32" w14:textId="77777777" w:rsidTr="007F3EF9">
              <w:tc>
                <w:tcPr>
                  <w:tcW w:w="1075" w:type="dxa"/>
                </w:tcPr>
                <w:p w14:paraId="0931B8CA" w14:textId="77777777" w:rsidR="00B65E21" w:rsidRPr="0067360C" w:rsidRDefault="00B65E21" w:rsidP="00B65E21">
                  <w:pPr>
                    <w:rPr>
                      <w:rFonts w:cstheme="minorHAnsi"/>
                      <w:color w:val="002060"/>
                    </w:rPr>
                  </w:pPr>
                  <w:r w:rsidRPr="0067360C">
                    <w:rPr>
                      <w:rFonts w:cstheme="minorHAnsi"/>
                      <w:color w:val="002060"/>
                    </w:rPr>
                    <w:t>2019</w:t>
                  </w:r>
                </w:p>
              </w:tc>
              <w:tc>
                <w:tcPr>
                  <w:tcW w:w="5707" w:type="dxa"/>
                </w:tcPr>
                <w:p w14:paraId="538AE503" w14:textId="77777777" w:rsidR="00B65E21" w:rsidRPr="0067360C" w:rsidRDefault="00B65E21" w:rsidP="00B65E21">
                  <w:pPr>
                    <w:jc w:val="center"/>
                    <w:rPr>
                      <w:rFonts w:cstheme="minorHAnsi"/>
                      <w:color w:val="002060"/>
                    </w:rPr>
                  </w:pPr>
                  <w:r w:rsidRPr="0067360C">
                    <w:rPr>
                      <w:rFonts w:cstheme="minorHAnsi"/>
                      <w:color w:val="002060"/>
                    </w:rPr>
                    <w:t>2041</w:t>
                  </w:r>
                </w:p>
              </w:tc>
              <w:tc>
                <w:tcPr>
                  <w:tcW w:w="5708" w:type="dxa"/>
                </w:tcPr>
                <w:p w14:paraId="128096CF" w14:textId="77777777" w:rsidR="00B65E21" w:rsidRPr="0067360C" w:rsidRDefault="00B65E21" w:rsidP="00B65E21">
                  <w:pPr>
                    <w:jc w:val="center"/>
                    <w:rPr>
                      <w:rFonts w:cstheme="minorHAnsi"/>
                      <w:color w:val="002060"/>
                    </w:rPr>
                  </w:pPr>
                  <w:r w:rsidRPr="0067360C">
                    <w:rPr>
                      <w:rFonts w:cstheme="minorHAnsi"/>
                      <w:color w:val="002060"/>
                    </w:rPr>
                    <w:t>83%</w:t>
                  </w:r>
                </w:p>
              </w:tc>
            </w:tr>
            <w:tr w:rsidR="00D43D64" w:rsidRPr="0067360C" w14:paraId="452E1747" w14:textId="77777777" w:rsidTr="007F3EF9">
              <w:tc>
                <w:tcPr>
                  <w:tcW w:w="1075" w:type="dxa"/>
                </w:tcPr>
                <w:p w14:paraId="57937671" w14:textId="77777777" w:rsidR="00D43D64" w:rsidRPr="00421B93" w:rsidRDefault="00D43D64" w:rsidP="00B65E21">
                  <w:pPr>
                    <w:rPr>
                      <w:rFonts w:cstheme="minorHAnsi"/>
                      <w:color w:val="002060"/>
                    </w:rPr>
                  </w:pPr>
                  <w:r w:rsidRPr="00421B93">
                    <w:rPr>
                      <w:rFonts w:cstheme="minorHAnsi"/>
                      <w:color w:val="002060"/>
                    </w:rPr>
                    <w:t>2020</w:t>
                  </w:r>
                </w:p>
              </w:tc>
              <w:tc>
                <w:tcPr>
                  <w:tcW w:w="5707" w:type="dxa"/>
                </w:tcPr>
                <w:p w14:paraId="4F33A491" w14:textId="2432E1BD" w:rsidR="00D43D64" w:rsidRPr="00421B93" w:rsidRDefault="003B3B1B" w:rsidP="00B65E21">
                  <w:pPr>
                    <w:jc w:val="center"/>
                    <w:rPr>
                      <w:rFonts w:cstheme="minorHAnsi"/>
                      <w:color w:val="002060"/>
                    </w:rPr>
                  </w:pPr>
                  <w:r w:rsidRPr="00421B93">
                    <w:rPr>
                      <w:rFonts w:cstheme="minorHAnsi"/>
                      <w:color w:val="002060"/>
                    </w:rPr>
                    <w:t>Data Unavailable</w:t>
                  </w:r>
                  <w:r w:rsidR="00421B93">
                    <w:rPr>
                      <w:rFonts w:cstheme="minorHAnsi"/>
                      <w:color w:val="002060"/>
                    </w:rPr>
                    <w:t xml:space="preserve"> (Qless not used during Covid)</w:t>
                  </w:r>
                </w:p>
              </w:tc>
              <w:tc>
                <w:tcPr>
                  <w:tcW w:w="5708" w:type="dxa"/>
                </w:tcPr>
                <w:p w14:paraId="0B3D2E83" w14:textId="77777777" w:rsidR="00D43D64" w:rsidRPr="00421B93" w:rsidRDefault="009E0514" w:rsidP="00B65E21">
                  <w:pPr>
                    <w:jc w:val="center"/>
                    <w:rPr>
                      <w:rFonts w:cstheme="minorHAnsi"/>
                      <w:color w:val="002060"/>
                    </w:rPr>
                  </w:pPr>
                  <w:r w:rsidRPr="00421B93">
                    <w:rPr>
                      <w:rFonts w:cstheme="minorHAnsi"/>
                      <w:color w:val="002060"/>
                    </w:rPr>
                    <w:t>Data Unavailable</w:t>
                  </w:r>
                </w:p>
              </w:tc>
            </w:tr>
            <w:tr w:rsidR="00D43D64" w:rsidRPr="0067360C" w14:paraId="5C684FCC" w14:textId="77777777" w:rsidTr="007F3EF9">
              <w:tc>
                <w:tcPr>
                  <w:tcW w:w="1075" w:type="dxa"/>
                </w:tcPr>
                <w:p w14:paraId="143FE7C5" w14:textId="77777777" w:rsidR="00D43D64" w:rsidRPr="00421B93" w:rsidRDefault="00D43D64" w:rsidP="00B65E21">
                  <w:pPr>
                    <w:rPr>
                      <w:rFonts w:cstheme="minorHAnsi"/>
                      <w:color w:val="002060"/>
                    </w:rPr>
                  </w:pPr>
                  <w:r w:rsidRPr="00421B93">
                    <w:rPr>
                      <w:rFonts w:cstheme="minorHAnsi"/>
                      <w:color w:val="002060"/>
                    </w:rPr>
                    <w:t>2021</w:t>
                  </w:r>
                </w:p>
              </w:tc>
              <w:tc>
                <w:tcPr>
                  <w:tcW w:w="5707" w:type="dxa"/>
                </w:tcPr>
                <w:p w14:paraId="72AB3666" w14:textId="77777777" w:rsidR="00D43D64" w:rsidRPr="00421B93" w:rsidRDefault="00973BDA" w:rsidP="00B65E21">
                  <w:pPr>
                    <w:jc w:val="center"/>
                    <w:rPr>
                      <w:rFonts w:cstheme="minorHAnsi"/>
                      <w:color w:val="002060"/>
                    </w:rPr>
                  </w:pPr>
                  <w:r w:rsidRPr="00421B93">
                    <w:rPr>
                      <w:rFonts w:cstheme="minorHAnsi"/>
                      <w:color w:val="002060"/>
                    </w:rPr>
                    <w:t>1449</w:t>
                  </w:r>
                </w:p>
              </w:tc>
              <w:tc>
                <w:tcPr>
                  <w:tcW w:w="5708" w:type="dxa"/>
                </w:tcPr>
                <w:p w14:paraId="2D52CBFC" w14:textId="77777777" w:rsidR="00D43D64" w:rsidRPr="00421B93" w:rsidRDefault="00973BDA" w:rsidP="00B65E21">
                  <w:pPr>
                    <w:jc w:val="center"/>
                    <w:rPr>
                      <w:rFonts w:cstheme="minorHAnsi"/>
                      <w:color w:val="002060"/>
                    </w:rPr>
                  </w:pPr>
                  <w:r w:rsidRPr="00421B93">
                    <w:rPr>
                      <w:rFonts w:cstheme="minorHAnsi"/>
                      <w:color w:val="002060"/>
                    </w:rPr>
                    <w:t>90%</w:t>
                  </w:r>
                </w:p>
              </w:tc>
            </w:tr>
            <w:tr w:rsidR="00973BDA" w:rsidRPr="0067360C" w14:paraId="3B063A88" w14:textId="77777777" w:rsidTr="007F3EF9">
              <w:tc>
                <w:tcPr>
                  <w:tcW w:w="1075" w:type="dxa"/>
                </w:tcPr>
                <w:p w14:paraId="28CA295D" w14:textId="77777777" w:rsidR="00973BDA" w:rsidRPr="00421B93" w:rsidRDefault="00973BDA" w:rsidP="00B65E21">
                  <w:pPr>
                    <w:rPr>
                      <w:rFonts w:cstheme="minorHAnsi"/>
                      <w:color w:val="002060"/>
                    </w:rPr>
                  </w:pPr>
                  <w:r w:rsidRPr="00421B93">
                    <w:rPr>
                      <w:rFonts w:cstheme="minorHAnsi"/>
                      <w:color w:val="002060"/>
                    </w:rPr>
                    <w:lastRenderedPageBreak/>
                    <w:t>2022</w:t>
                  </w:r>
                </w:p>
              </w:tc>
              <w:tc>
                <w:tcPr>
                  <w:tcW w:w="5707" w:type="dxa"/>
                </w:tcPr>
                <w:p w14:paraId="6EA1AFF8" w14:textId="77777777" w:rsidR="00973BDA" w:rsidRPr="00421B93" w:rsidRDefault="00973BDA" w:rsidP="00B65E21">
                  <w:pPr>
                    <w:jc w:val="center"/>
                    <w:rPr>
                      <w:rFonts w:cstheme="minorHAnsi"/>
                      <w:color w:val="002060"/>
                    </w:rPr>
                  </w:pPr>
                  <w:r w:rsidRPr="00421B93">
                    <w:rPr>
                      <w:rFonts w:cstheme="minorHAnsi"/>
                      <w:color w:val="002060"/>
                    </w:rPr>
                    <w:t>1606</w:t>
                  </w:r>
                </w:p>
              </w:tc>
              <w:tc>
                <w:tcPr>
                  <w:tcW w:w="5708" w:type="dxa"/>
                </w:tcPr>
                <w:p w14:paraId="4BE8BF78" w14:textId="77777777" w:rsidR="00973BDA" w:rsidRPr="00421B93" w:rsidRDefault="00973BDA" w:rsidP="00B65E21">
                  <w:pPr>
                    <w:jc w:val="center"/>
                    <w:rPr>
                      <w:rFonts w:cstheme="minorHAnsi"/>
                      <w:color w:val="002060"/>
                    </w:rPr>
                  </w:pPr>
                  <w:r w:rsidRPr="00421B93">
                    <w:rPr>
                      <w:rFonts w:cstheme="minorHAnsi"/>
                      <w:color w:val="002060"/>
                    </w:rPr>
                    <w:t>88%</w:t>
                  </w:r>
                </w:p>
              </w:tc>
            </w:tr>
          </w:tbl>
          <w:p w14:paraId="7900485F" w14:textId="77777777" w:rsidR="00F9197F" w:rsidRDefault="00F9197F" w:rsidP="00F9197F">
            <w:pPr>
              <w:pStyle w:val="NoSpacing"/>
              <w:rPr>
                <w:rFonts w:ascii="Arial" w:hAnsi="Arial" w:cs="Arial"/>
                <w:sz w:val="20"/>
                <w:szCs w:val="20"/>
              </w:rPr>
            </w:pPr>
          </w:p>
          <w:p w14:paraId="1AE563F8" w14:textId="77777777" w:rsidR="00B65E21" w:rsidRPr="00210107" w:rsidRDefault="00B65E21" w:rsidP="00F9197F">
            <w:pPr>
              <w:pStyle w:val="NoSpacing"/>
              <w:rPr>
                <w:rFonts w:ascii="Arial" w:hAnsi="Arial" w:cs="Arial"/>
                <w:sz w:val="20"/>
                <w:szCs w:val="20"/>
              </w:rPr>
            </w:pPr>
          </w:p>
        </w:tc>
      </w:tr>
      <w:tr w:rsidR="00A53228" w:rsidRPr="00210107" w14:paraId="6C5ABC1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8177886"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Findings (Outcome #1)</w:t>
            </w:r>
          </w:p>
          <w:p w14:paraId="77777309" w14:textId="77777777" w:rsidR="00F9197F" w:rsidRDefault="00B65E21" w:rsidP="0067033E">
            <w:pPr>
              <w:rPr>
                <w:rFonts w:cstheme="minorHAnsi"/>
                <w:color w:val="002060"/>
              </w:rPr>
            </w:pPr>
            <w:r w:rsidRPr="0067360C">
              <w:rPr>
                <w:rFonts w:cstheme="minorHAnsi"/>
                <w:color w:val="002060"/>
              </w:rPr>
              <w:t>There was no</w:t>
            </w:r>
            <w:r w:rsidR="0067033E">
              <w:rPr>
                <w:rFonts w:cstheme="minorHAnsi"/>
                <w:color w:val="002060"/>
              </w:rPr>
              <w:t xml:space="preserve"> change in the overall percent of students who were satisfied with their advising service between 2018 and 2019.  There was no </w:t>
            </w:r>
            <w:r w:rsidR="00AD3980">
              <w:rPr>
                <w:rFonts w:cstheme="minorHAnsi"/>
                <w:color w:val="002060"/>
              </w:rPr>
              <w:t xml:space="preserve">statistically significant </w:t>
            </w:r>
            <w:r w:rsidR="0067033E">
              <w:rPr>
                <w:rFonts w:cstheme="minorHAnsi"/>
                <w:color w:val="002060"/>
              </w:rPr>
              <w:t>change from 2018 to 2019 in the open-ended responses provided by students.</w:t>
            </w:r>
          </w:p>
          <w:p w14:paraId="3C850F9D" w14:textId="77777777" w:rsidR="009E0514" w:rsidRPr="00274D44" w:rsidRDefault="009E0514" w:rsidP="009E0514">
            <w:pPr>
              <w:pStyle w:val="NoSpacing"/>
              <w:rPr>
                <w:rFonts w:cstheme="minorHAnsi"/>
                <w:u w:val="single"/>
              </w:rPr>
            </w:pPr>
            <w:r w:rsidRPr="00274D44">
              <w:rPr>
                <w:rFonts w:cstheme="minorHAnsi"/>
                <w:u w:val="single"/>
              </w:rPr>
              <w:t>Update: February 2023</w:t>
            </w:r>
          </w:p>
          <w:p w14:paraId="57B4D0E0" w14:textId="76336380" w:rsidR="004F571A" w:rsidRDefault="00485943" w:rsidP="0067033E">
            <w:pPr>
              <w:rPr>
                <w:rFonts w:ascii="Arial" w:hAnsi="Arial" w:cs="Arial"/>
                <w:sz w:val="20"/>
                <w:szCs w:val="20"/>
              </w:rPr>
            </w:pPr>
            <w:r>
              <w:rPr>
                <w:rFonts w:ascii="Arial" w:hAnsi="Arial" w:cs="Arial"/>
                <w:sz w:val="20"/>
                <w:szCs w:val="20"/>
              </w:rPr>
              <w:t xml:space="preserve">Data was unavailable for 2020 due largely to the pivot required to serve students during the onset of the Covid-19 pandemic. Services were paused then transitioned to online where </w:t>
            </w:r>
            <w:r w:rsidR="00421B93">
              <w:rPr>
                <w:rFonts w:ascii="Arial" w:hAnsi="Arial" w:cs="Arial"/>
                <w:sz w:val="20"/>
                <w:szCs w:val="20"/>
              </w:rPr>
              <w:t>the department was un</w:t>
            </w:r>
            <w:r>
              <w:rPr>
                <w:rFonts w:ascii="Arial" w:hAnsi="Arial" w:cs="Arial"/>
                <w:sz w:val="20"/>
                <w:szCs w:val="20"/>
              </w:rPr>
              <w:t>able to deploy the Qless survey. However, in 2021 and 2022 there was a 7% and 5% change, respectively, in the overall percentage of students who indicated their overall satisfaction with Advising services. In 2021, the Target outcome of 90% satisfaction with Advising services was accomplished.</w:t>
            </w:r>
          </w:p>
          <w:p w14:paraId="4EBE0F38" w14:textId="40CB9EA3" w:rsidR="009E0514" w:rsidRPr="00210107" w:rsidRDefault="004F571A" w:rsidP="0067033E">
            <w:pPr>
              <w:rPr>
                <w:rFonts w:ascii="Arial" w:hAnsi="Arial" w:cs="Arial"/>
                <w:sz w:val="20"/>
                <w:szCs w:val="20"/>
              </w:rPr>
            </w:pPr>
            <w:r>
              <w:rPr>
                <w:rFonts w:ascii="Arial" w:hAnsi="Arial" w:cs="Arial"/>
                <w:sz w:val="20"/>
                <w:szCs w:val="20"/>
              </w:rPr>
              <w:t>It should be noted that there was a significant drop in the number of Total Qless Res</w:t>
            </w:r>
            <w:r w:rsidR="00A81275">
              <w:rPr>
                <w:rFonts w:ascii="Arial" w:hAnsi="Arial" w:cs="Arial"/>
                <w:sz w:val="20"/>
                <w:szCs w:val="20"/>
              </w:rPr>
              <w:t>p</w:t>
            </w:r>
            <w:bookmarkStart w:id="0" w:name="_GoBack"/>
            <w:bookmarkEnd w:id="0"/>
            <w:r>
              <w:rPr>
                <w:rFonts w:ascii="Arial" w:hAnsi="Arial" w:cs="Arial"/>
                <w:sz w:val="20"/>
                <w:szCs w:val="20"/>
              </w:rPr>
              <w:t xml:space="preserve">onses submitted in 2020 and 2021. This is due in part to transitioning the manner in which students sign into the queue. The decision was made to </w:t>
            </w:r>
            <w:r w:rsidR="00421B93">
              <w:rPr>
                <w:rFonts w:ascii="Arial" w:hAnsi="Arial" w:cs="Arial"/>
                <w:sz w:val="20"/>
                <w:szCs w:val="20"/>
              </w:rPr>
              <w:t xml:space="preserve">consolidate two separate </w:t>
            </w:r>
            <w:r>
              <w:rPr>
                <w:rFonts w:ascii="Arial" w:hAnsi="Arial" w:cs="Arial"/>
                <w:sz w:val="20"/>
                <w:szCs w:val="20"/>
              </w:rPr>
              <w:t>sign-in options of FTIC Advising and Returning Advising in favor of using</w:t>
            </w:r>
            <w:r w:rsidR="00421B93">
              <w:rPr>
                <w:rFonts w:ascii="Arial" w:hAnsi="Arial" w:cs="Arial"/>
                <w:sz w:val="20"/>
                <w:szCs w:val="20"/>
              </w:rPr>
              <w:t xml:space="preserve"> one</w:t>
            </w:r>
            <w:r>
              <w:rPr>
                <w:rFonts w:ascii="Arial" w:hAnsi="Arial" w:cs="Arial"/>
                <w:sz w:val="20"/>
                <w:szCs w:val="20"/>
              </w:rPr>
              <w:t xml:space="preserve"> Advising</w:t>
            </w:r>
            <w:r w:rsidR="00421B93">
              <w:rPr>
                <w:rFonts w:ascii="Arial" w:hAnsi="Arial" w:cs="Arial"/>
                <w:sz w:val="20"/>
                <w:szCs w:val="20"/>
              </w:rPr>
              <w:t xml:space="preserve"> line</w:t>
            </w:r>
            <w:r>
              <w:rPr>
                <w:rFonts w:ascii="Arial" w:hAnsi="Arial" w:cs="Arial"/>
                <w:sz w:val="20"/>
                <w:szCs w:val="20"/>
              </w:rPr>
              <w:t xml:space="preserve"> in order to eliminate any confusion students may have when signing in.</w:t>
            </w:r>
            <w:r w:rsidR="00421B93">
              <w:rPr>
                <w:rFonts w:ascii="Arial" w:hAnsi="Arial" w:cs="Arial"/>
                <w:sz w:val="20"/>
                <w:szCs w:val="20"/>
              </w:rPr>
              <w:t xml:space="preserve"> Quick service was also implemented, eliminating the need of students to sign in to a que to complete a simple transaction.</w:t>
            </w:r>
            <w:r>
              <w:rPr>
                <w:rFonts w:ascii="Arial" w:hAnsi="Arial" w:cs="Arial"/>
                <w:sz w:val="20"/>
                <w:szCs w:val="20"/>
              </w:rPr>
              <w:t xml:space="preserve">  </w:t>
            </w:r>
            <w:r w:rsidR="00485943">
              <w:rPr>
                <w:rFonts w:ascii="Arial" w:hAnsi="Arial" w:cs="Arial"/>
                <w:sz w:val="20"/>
                <w:szCs w:val="20"/>
              </w:rPr>
              <w:t xml:space="preserve">   </w:t>
            </w:r>
          </w:p>
        </w:tc>
      </w:tr>
      <w:tr w:rsidR="00746F2D" w:rsidRPr="00210107" w14:paraId="0AAC8CA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FEFD6DD"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5F12C1D0" w14:textId="77777777" w:rsidR="00B65E21" w:rsidRDefault="00A22225" w:rsidP="000615C7">
            <w:pPr>
              <w:pStyle w:val="NoSpacing"/>
              <w:rPr>
                <w:rFonts w:cstheme="minorHAnsi"/>
                <w:color w:val="002060"/>
              </w:rPr>
            </w:pPr>
            <w:r>
              <w:rPr>
                <w:rFonts w:cstheme="minorHAnsi"/>
                <w:color w:val="002060"/>
              </w:rPr>
              <w:t>After two years of</w:t>
            </w:r>
            <w:r w:rsidRPr="0067360C">
              <w:rPr>
                <w:rFonts w:cstheme="minorHAnsi"/>
                <w:color w:val="002060"/>
              </w:rPr>
              <w:t xml:space="preserve"> </w:t>
            </w:r>
            <w:r>
              <w:rPr>
                <w:rFonts w:cstheme="minorHAnsi"/>
                <w:color w:val="002060"/>
              </w:rPr>
              <w:t>utilizing</w:t>
            </w:r>
            <w:r w:rsidRPr="0067360C">
              <w:rPr>
                <w:rFonts w:cstheme="minorHAnsi"/>
                <w:color w:val="002060"/>
              </w:rPr>
              <w:t xml:space="preserve"> the Appreciative Advising</w:t>
            </w:r>
            <w:r>
              <w:rPr>
                <w:rFonts w:cstheme="minorHAnsi"/>
                <w:color w:val="002060"/>
              </w:rPr>
              <w:t xml:space="preserve"> model, those in advising roles will be </w:t>
            </w:r>
            <w:r w:rsidR="000615C7">
              <w:rPr>
                <w:rFonts w:cstheme="minorHAnsi"/>
                <w:color w:val="002060"/>
              </w:rPr>
              <w:t xml:space="preserve">transitioning the service model to one that evaluates the closest pathway to completion.  During this transition, cohort options </w:t>
            </w:r>
            <w:r w:rsidR="00635666">
              <w:rPr>
                <w:rFonts w:cstheme="minorHAnsi"/>
                <w:color w:val="002060"/>
              </w:rPr>
              <w:t xml:space="preserve">and advisor caseload </w:t>
            </w:r>
            <w:r w:rsidR="000615C7">
              <w:rPr>
                <w:rFonts w:cstheme="minorHAnsi"/>
                <w:color w:val="002060"/>
              </w:rPr>
              <w:t>will be explored.</w:t>
            </w:r>
          </w:p>
          <w:p w14:paraId="6DA22732" w14:textId="77777777" w:rsidR="009E0514" w:rsidRDefault="009E0514" w:rsidP="000615C7">
            <w:pPr>
              <w:pStyle w:val="NoSpacing"/>
              <w:rPr>
                <w:rFonts w:ascii="Arial" w:hAnsi="Arial" w:cs="Arial"/>
                <w:b/>
                <w:sz w:val="20"/>
                <w:szCs w:val="20"/>
              </w:rPr>
            </w:pPr>
          </w:p>
          <w:p w14:paraId="00C692D1" w14:textId="77777777" w:rsidR="009E0514" w:rsidRPr="00274D44" w:rsidRDefault="009E0514" w:rsidP="009E0514">
            <w:pPr>
              <w:pStyle w:val="NoSpacing"/>
              <w:rPr>
                <w:rFonts w:cstheme="minorHAnsi"/>
                <w:u w:val="single"/>
              </w:rPr>
            </w:pPr>
            <w:r w:rsidRPr="00274D44">
              <w:rPr>
                <w:rFonts w:cstheme="minorHAnsi"/>
                <w:u w:val="single"/>
              </w:rPr>
              <w:t>Update: February 2023</w:t>
            </w:r>
          </w:p>
          <w:p w14:paraId="5CFB13E5" w14:textId="6FEC79B8" w:rsidR="009E0514" w:rsidRPr="00485943" w:rsidRDefault="00485943" w:rsidP="000615C7">
            <w:pPr>
              <w:pStyle w:val="NoSpacing"/>
              <w:rPr>
                <w:rFonts w:ascii="Arial" w:hAnsi="Arial" w:cs="Arial"/>
                <w:sz w:val="20"/>
                <w:szCs w:val="20"/>
              </w:rPr>
            </w:pPr>
            <w:r w:rsidRPr="00485943">
              <w:rPr>
                <w:rFonts w:ascii="Arial" w:hAnsi="Arial" w:cs="Arial"/>
                <w:sz w:val="20"/>
                <w:szCs w:val="20"/>
              </w:rPr>
              <w:t xml:space="preserve">As discussed </w:t>
            </w:r>
            <w:r>
              <w:rPr>
                <w:rFonts w:ascii="Arial" w:hAnsi="Arial" w:cs="Arial"/>
                <w:sz w:val="20"/>
                <w:szCs w:val="20"/>
              </w:rPr>
              <w:t>above, the Appreciative Advising model was phased out and the department transition</w:t>
            </w:r>
            <w:r w:rsidR="005E7CC6">
              <w:rPr>
                <w:rFonts w:ascii="Arial" w:hAnsi="Arial" w:cs="Arial"/>
                <w:sz w:val="20"/>
                <w:szCs w:val="20"/>
              </w:rPr>
              <w:t>ed</w:t>
            </w:r>
            <w:r>
              <w:rPr>
                <w:rFonts w:ascii="Arial" w:hAnsi="Arial" w:cs="Arial"/>
                <w:sz w:val="20"/>
                <w:szCs w:val="20"/>
              </w:rPr>
              <w:t xml:space="preserve"> to a service model that focuses on prioritizing students’ completion through identifying the best pathway for the student</w:t>
            </w:r>
            <w:r w:rsidR="002004FE">
              <w:rPr>
                <w:rFonts w:ascii="Arial" w:hAnsi="Arial" w:cs="Arial"/>
                <w:sz w:val="20"/>
                <w:szCs w:val="20"/>
              </w:rPr>
              <w:t xml:space="preserve"> – utilizing a more ‘directive advising’ approach.</w:t>
            </w:r>
            <w:r>
              <w:rPr>
                <w:rFonts w:ascii="Arial" w:hAnsi="Arial" w:cs="Arial"/>
                <w:sz w:val="20"/>
                <w:szCs w:val="20"/>
              </w:rPr>
              <w:t xml:space="preserve">  </w:t>
            </w:r>
            <w:r w:rsidRPr="00485943">
              <w:rPr>
                <w:rFonts w:ascii="Arial" w:hAnsi="Arial" w:cs="Arial"/>
                <w:sz w:val="20"/>
                <w:szCs w:val="20"/>
              </w:rPr>
              <w:t xml:space="preserve"> </w:t>
            </w:r>
          </w:p>
          <w:p w14:paraId="27372C55" w14:textId="77777777" w:rsidR="009E0514" w:rsidRPr="00210107" w:rsidRDefault="009E0514" w:rsidP="000615C7">
            <w:pPr>
              <w:pStyle w:val="NoSpacing"/>
              <w:rPr>
                <w:rFonts w:ascii="Arial" w:hAnsi="Arial" w:cs="Arial"/>
                <w:b/>
                <w:sz w:val="20"/>
                <w:szCs w:val="20"/>
              </w:rPr>
            </w:pPr>
          </w:p>
        </w:tc>
      </w:tr>
    </w:tbl>
    <w:p w14:paraId="189C98FE"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205BFA08"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AA61633"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60AE78C5" w14:textId="77777777" w:rsidR="00BE7B86" w:rsidRPr="00210107" w:rsidRDefault="00B65E21" w:rsidP="00A22D6B">
            <w:pPr>
              <w:pStyle w:val="NoSpacing"/>
              <w:rPr>
                <w:rFonts w:ascii="Arial" w:hAnsi="Arial" w:cs="Arial"/>
                <w:sz w:val="20"/>
                <w:szCs w:val="20"/>
              </w:rPr>
            </w:pPr>
            <w:r w:rsidRPr="003673F9">
              <w:rPr>
                <w:color w:val="002060"/>
              </w:rPr>
              <w:t>Continue to work towards the previously stated goal to reduce the average wait time to access an advisor during “Peak Time” advising (July, August and January).  The goal is 27 minutes by 2020.  Presently the wait time is 33 minutes.</w:t>
            </w:r>
          </w:p>
        </w:tc>
      </w:tr>
      <w:tr w:rsidR="00BE7B86" w:rsidRPr="00210107" w14:paraId="52DB8603"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393BDEE"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55EA0FB4" w14:textId="77777777" w:rsidR="00BE7B86" w:rsidRPr="00210107" w:rsidRDefault="00B65E21" w:rsidP="00A22D6B">
            <w:pPr>
              <w:pStyle w:val="NoSpacing"/>
              <w:rPr>
                <w:rFonts w:ascii="Arial" w:hAnsi="Arial" w:cs="Arial"/>
                <w:sz w:val="20"/>
                <w:szCs w:val="20"/>
              </w:rPr>
            </w:pPr>
            <w:r w:rsidRPr="003673F9">
              <w:rPr>
                <w:rFonts w:cstheme="minorHAnsi"/>
                <w:color w:val="002060"/>
              </w:rPr>
              <w:t>QLess data</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6947BB"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54F19485" w14:textId="77777777" w:rsidR="00BE7B86" w:rsidRPr="00210107" w:rsidRDefault="00196BE6" w:rsidP="00196BE6">
            <w:pPr>
              <w:pStyle w:val="NoSpacing"/>
              <w:rPr>
                <w:rFonts w:ascii="Arial" w:hAnsi="Arial" w:cs="Arial"/>
                <w:sz w:val="20"/>
                <w:szCs w:val="20"/>
              </w:rPr>
            </w:pPr>
            <w:r w:rsidRPr="003673F9">
              <w:rPr>
                <w:color w:val="002060"/>
              </w:rPr>
              <w:t>During “Peak Time” advising time (July, August and January) student wait</w:t>
            </w:r>
            <w:r>
              <w:rPr>
                <w:color w:val="002060"/>
              </w:rPr>
              <w:t xml:space="preserve"> time will average</w:t>
            </w:r>
            <w:r w:rsidRPr="003673F9">
              <w:rPr>
                <w:color w:val="002060"/>
              </w:rPr>
              <w:t xml:space="preserve"> 27 minutes or less to access an advisor</w:t>
            </w:r>
            <w:r>
              <w:rPr>
                <w:color w:val="002060"/>
              </w:rPr>
              <w:t xml:space="preserve"> (reduction from current average wait time of 33 minutes).</w:t>
            </w:r>
          </w:p>
        </w:tc>
      </w:tr>
      <w:tr w:rsidR="004C7267" w:rsidRPr="00210107" w14:paraId="507C87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AB0F6CF"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1F93540" w14:textId="77777777" w:rsidR="00B65E21" w:rsidRPr="00210107" w:rsidRDefault="00B65E21" w:rsidP="00B65E21">
            <w:pPr>
              <w:pStyle w:val="NoSpacing"/>
              <w:ind w:left="720"/>
              <w:rPr>
                <w:rFonts w:ascii="Arial" w:hAnsi="Arial" w:cs="Arial"/>
                <w:b/>
                <w:sz w:val="20"/>
                <w:szCs w:val="20"/>
              </w:rPr>
            </w:pPr>
            <w:r w:rsidRPr="004E3433">
              <w:rPr>
                <w:rFonts w:cstheme="minorHAnsi"/>
                <w:color w:val="002060"/>
              </w:rPr>
              <w:t>Alignment of present Academic Advising programs (M</w:t>
            </w:r>
            <w:r w:rsidR="00B51A1C">
              <w:rPr>
                <w:rFonts w:cstheme="minorHAnsi"/>
                <w:color w:val="002060"/>
              </w:rPr>
              <w:t xml:space="preserve">aximizing </w:t>
            </w:r>
            <w:r w:rsidRPr="004E3433">
              <w:rPr>
                <w:rFonts w:cstheme="minorHAnsi"/>
                <w:color w:val="002060"/>
              </w:rPr>
              <w:t>A</w:t>
            </w:r>
            <w:r w:rsidR="00B51A1C">
              <w:rPr>
                <w:rFonts w:cstheme="minorHAnsi"/>
                <w:color w:val="002060"/>
              </w:rPr>
              <w:t xml:space="preserve">cademic </w:t>
            </w:r>
            <w:r w:rsidRPr="004E3433">
              <w:rPr>
                <w:rFonts w:cstheme="minorHAnsi"/>
                <w:color w:val="002060"/>
              </w:rPr>
              <w:t>P</w:t>
            </w:r>
            <w:r w:rsidR="00B51A1C">
              <w:rPr>
                <w:rFonts w:cstheme="minorHAnsi"/>
                <w:color w:val="002060"/>
              </w:rPr>
              <w:t xml:space="preserve">rogress </w:t>
            </w:r>
            <w:r w:rsidRPr="004E3433">
              <w:rPr>
                <w:rFonts w:cstheme="minorHAnsi"/>
                <w:color w:val="002060"/>
              </w:rPr>
              <w:t>P</w:t>
            </w:r>
            <w:r w:rsidR="00B51A1C">
              <w:rPr>
                <w:rFonts w:cstheme="minorHAnsi"/>
                <w:color w:val="002060"/>
              </w:rPr>
              <w:t>rogram-MAPP</w:t>
            </w:r>
            <w:r w:rsidRPr="004E3433">
              <w:rPr>
                <w:rFonts w:cstheme="minorHAnsi"/>
                <w:color w:val="002060"/>
              </w:rPr>
              <w:t>, Cougar Compass, etc.) will lower student wait time.</w:t>
            </w:r>
          </w:p>
        </w:tc>
      </w:tr>
      <w:tr w:rsidR="00BE7B86" w:rsidRPr="00210107" w14:paraId="68EBF806"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470D719"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6CB923C8" w14:textId="4C9FD43C" w:rsidR="00B65E21" w:rsidRDefault="00B65E21" w:rsidP="00B65E21">
            <w:pPr>
              <w:pStyle w:val="NoSpacing"/>
              <w:rPr>
                <w:rFonts w:ascii="Arial" w:hAnsi="Arial" w:cs="Arial"/>
                <w:color w:val="002060"/>
                <w:sz w:val="20"/>
                <w:szCs w:val="20"/>
              </w:rPr>
            </w:pPr>
          </w:p>
          <w:tbl>
            <w:tblPr>
              <w:tblStyle w:val="TableGrid"/>
              <w:tblW w:w="0" w:type="auto"/>
              <w:tblLayout w:type="fixed"/>
              <w:tblLook w:val="04A0" w:firstRow="1" w:lastRow="0" w:firstColumn="1" w:lastColumn="0" w:noHBand="0" w:noVBand="1"/>
            </w:tblPr>
            <w:tblGrid>
              <w:gridCol w:w="3323"/>
              <w:gridCol w:w="3323"/>
              <w:gridCol w:w="3323"/>
              <w:gridCol w:w="3323"/>
            </w:tblGrid>
            <w:tr w:rsidR="00B65E21" w:rsidRPr="0067360C" w14:paraId="4DE0CC3C" w14:textId="77777777" w:rsidTr="007F3EF9">
              <w:tc>
                <w:tcPr>
                  <w:tcW w:w="3323" w:type="dxa"/>
                </w:tcPr>
                <w:p w14:paraId="159E9D6E" w14:textId="77777777" w:rsidR="00B65E21" w:rsidRPr="0067360C" w:rsidRDefault="00B65E21" w:rsidP="00B65E21">
                  <w:pPr>
                    <w:pStyle w:val="NoSpacing"/>
                    <w:jc w:val="center"/>
                    <w:rPr>
                      <w:rFonts w:cstheme="minorHAnsi"/>
                      <w:color w:val="002060"/>
                    </w:rPr>
                  </w:pPr>
                  <w:r w:rsidRPr="0067360C">
                    <w:rPr>
                      <w:rFonts w:cstheme="minorHAnsi"/>
                      <w:color w:val="002060"/>
                    </w:rPr>
                    <w:t>Year</w:t>
                  </w:r>
                </w:p>
              </w:tc>
              <w:tc>
                <w:tcPr>
                  <w:tcW w:w="3323" w:type="dxa"/>
                </w:tcPr>
                <w:p w14:paraId="010A3C7D" w14:textId="77777777" w:rsidR="00B65E21" w:rsidRPr="0067360C" w:rsidRDefault="00B65E21" w:rsidP="00B65E21">
                  <w:pPr>
                    <w:pStyle w:val="NoSpacing"/>
                    <w:jc w:val="center"/>
                    <w:rPr>
                      <w:rFonts w:cstheme="minorHAnsi"/>
                      <w:color w:val="002060"/>
                    </w:rPr>
                  </w:pPr>
                  <w:r w:rsidRPr="0067360C">
                    <w:rPr>
                      <w:rFonts w:cstheme="minorHAnsi"/>
                      <w:color w:val="002060"/>
                    </w:rPr>
                    <w:t>January</w:t>
                  </w:r>
                </w:p>
              </w:tc>
              <w:tc>
                <w:tcPr>
                  <w:tcW w:w="3323" w:type="dxa"/>
                </w:tcPr>
                <w:p w14:paraId="00BF2B61" w14:textId="77777777" w:rsidR="00B65E21" w:rsidRPr="0067360C" w:rsidRDefault="00B65E21" w:rsidP="00B65E21">
                  <w:pPr>
                    <w:pStyle w:val="NoSpacing"/>
                    <w:jc w:val="center"/>
                    <w:rPr>
                      <w:rFonts w:cstheme="minorHAnsi"/>
                      <w:color w:val="002060"/>
                    </w:rPr>
                  </w:pPr>
                  <w:r w:rsidRPr="0067360C">
                    <w:rPr>
                      <w:rFonts w:cstheme="minorHAnsi"/>
                      <w:color w:val="002060"/>
                    </w:rPr>
                    <w:t>July</w:t>
                  </w:r>
                </w:p>
              </w:tc>
              <w:tc>
                <w:tcPr>
                  <w:tcW w:w="3323" w:type="dxa"/>
                </w:tcPr>
                <w:p w14:paraId="40EFE2E9" w14:textId="77777777" w:rsidR="00B65E21" w:rsidRPr="0067360C" w:rsidRDefault="00B65E21" w:rsidP="00B65E21">
                  <w:pPr>
                    <w:pStyle w:val="NoSpacing"/>
                    <w:jc w:val="center"/>
                    <w:rPr>
                      <w:rFonts w:cstheme="minorHAnsi"/>
                      <w:color w:val="002060"/>
                    </w:rPr>
                  </w:pPr>
                  <w:r w:rsidRPr="0067360C">
                    <w:rPr>
                      <w:rFonts w:cstheme="minorHAnsi"/>
                      <w:color w:val="002060"/>
                    </w:rPr>
                    <w:t>August</w:t>
                  </w:r>
                </w:p>
              </w:tc>
            </w:tr>
            <w:tr w:rsidR="00B65E21" w:rsidRPr="0067360C" w14:paraId="015E967E" w14:textId="77777777" w:rsidTr="007F3EF9">
              <w:tc>
                <w:tcPr>
                  <w:tcW w:w="3323" w:type="dxa"/>
                </w:tcPr>
                <w:p w14:paraId="4408053E" w14:textId="77777777" w:rsidR="00B65E21" w:rsidRPr="0067360C" w:rsidRDefault="00B65E21" w:rsidP="00B65E21">
                  <w:pPr>
                    <w:pStyle w:val="NoSpacing"/>
                    <w:jc w:val="center"/>
                    <w:rPr>
                      <w:rFonts w:cstheme="minorHAnsi"/>
                      <w:color w:val="002060"/>
                    </w:rPr>
                  </w:pPr>
                  <w:r w:rsidRPr="0067360C">
                    <w:rPr>
                      <w:rFonts w:cstheme="minorHAnsi"/>
                      <w:color w:val="002060"/>
                    </w:rPr>
                    <w:t>2019</w:t>
                  </w:r>
                </w:p>
              </w:tc>
              <w:tc>
                <w:tcPr>
                  <w:tcW w:w="3323" w:type="dxa"/>
                </w:tcPr>
                <w:p w14:paraId="02BE0780" w14:textId="77777777" w:rsidR="00B65E21" w:rsidRPr="0067360C" w:rsidRDefault="00B65E21" w:rsidP="00B65E21">
                  <w:pPr>
                    <w:pStyle w:val="NoSpacing"/>
                    <w:jc w:val="center"/>
                    <w:rPr>
                      <w:rFonts w:cstheme="minorHAnsi"/>
                      <w:color w:val="002060"/>
                    </w:rPr>
                  </w:pPr>
                  <w:r w:rsidRPr="0067360C">
                    <w:rPr>
                      <w:rFonts w:cstheme="minorHAnsi"/>
                      <w:color w:val="002060"/>
                    </w:rPr>
                    <w:t>38</w:t>
                  </w:r>
                </w:p>
              </w:tc>
              <w:tc>
                <w:tcPr>
                  <w:tcW w:w="3323" w:type="dxa"/>
                </w:tcPr>
                <w:p w14:paraId="4F326329" w14:textId="77777777" w:rsidR="00B65E21" w:rsidRPr="0067360C" w:rsidRDefault="00B65E21" w:rsidP="00B65E21">
                  <w:pPr>
                    <w:pStyle w:val="NoSpacing"/>
                    <w:jc w:val="center"/>
                    <w:rPr>
                      <w:rFonts w:cstheme="minorHAnsi"/>
                      <w:color w:val="002060"/>
                    </w:rPr>
                  </w:pPr>
                  <w:r w:rsidRPr="0067360C">
                    <w:rPr>
                      <w:rFonts w:cstheme="minorHAnsi"/>
                      <w:color w:val="002060"/>
                    </w:rPr>
                    <w:t>47</w:t>
                  </w:r>
                </w:p>
              </w:tc>
              <w:tc>
                <w:tcPr>
                  <w:tcW w:w="3323" w:type="dxa"/>
                </w:tcPr>
                <w:p w14:paraId="5B12F56F" w14:textId="77777777" w:rsidR="00B65E21" w:rsidRPr="0067360C" w:rsidRDefault="00B65E21" w:rsidP="00B65E21">
                  <w:pPr>
                    <w:pStyle w:val="NoSpacing"/>
                    <w:jc w:val="center"/>
                    <w:rPr>
                      <w:rFonts w:cstheme="minorHAnsi"/>
                      <w:color w:val="002060"/>
                    </w:rPr>
                  </w:pPr>
                  <w:r w:rsidRPr="0067360C">
                    <w:rPr>
                      <w:rFonts w:cstheme="minorHAnsi"/>
                      <w:color w:val="002060"/>
                    </w:rPr>
                    <w:t>46</w:t>
                  </w:r>
                </w:p>
              </w:tc>
            </w:tr>
            <w:tr w:rsidR="00B65E21" w:rsidRPr="0067360C" w14:paraId="788AF16A" w14:textId="77777777" w:rsidTr="007F3EF9">
              <w:tc>
                <w:tcPr>
                  <w:tcW w:w="3323" w:type="dxa"/>
                </w:tcPr>
                <w:p w14:paraId="24C01A38" w14:textId="77777777" w:rsidR="00B65E21" w:rsidRPr="0067360C" w:rsidRDefault="00B65E21" w:rsidP="00B65E21">
                  <w:pPr>
                    <w:pStyle w:val="NoSpacing"/>
                    <w:jc w:val="center"/>
                    <w:rPr>
                      <w:rFonts w:cstheme="minorHAnsi"/>
                      <w:color w:val="002060"/>
                    </w:rPr>
                  </w:pPr>
                  <w:r w:rsidRPr="0067360C">
                    <w:rPr>
                      <w:rFonts w:cstheme="minorHAnsi"/>
                      <w:color w:val="002060"/>
                    </w:rPr>
                    <w:t>2020</w:t>
                  </w:r>
                </w:p>
              </w:tc>
              <w:tc>
                <w:tcPr>
                  <w:tcW w:w="3323" w:type="dxa"/>
                </w:tcPr>
                <w:p w14:paraId="78BAA3E4" w14:textId="77777777" w:rsidR="00B65E21" w:rsidRPr="0067360C" w:rsidRDefault="00B65E21" w:rsidP="00B65E21">
                  <w:pPr>
                    <w:pStyle w:val="NoSpacing"/>
                    <w:jc w:val="center"/>
                    <w:rPr>
                      <w:rFonts w:cstheme="minorHAnsi"/>
                      <w:color w:val="002060"/>
                    </w:rPr>
                  </w:pPr>
                  <w:r w:rsidRPr="0067360C">
                    <w:rPr>
                      <w:rFonts w:cstheme="minorHAnsi"/>
                      <w:color w:val="002060"/>
                    </w:rPr>
                    <w:t>42</w:t>
                  </w:r>
                </w:p>
              </w:tc>
              <w:tc>
                <w:tcPr>
                  <w:tcW w:w="3323" w:type="dxa"/>
                </w:tcPr>
                <w:p w14:paraId="2B2E6D75" w14:textId="77777777" w:rsidR="00B65E21" w:rsidRPr="0067360C" w:rsidRDefault="00B65E21" w:rsidP="00B65E21">
                  <w:pPr>
                    <w:pStyle w:val="NoSpacing"/>
                    <w:jc w:val="center"/>
                    <w:rPr>
                      <w:rFonts w:cstheme="minorHAnsi"/>
                      <w:color w:val="002060"/>
                    </w:rPr>
                  </w:pPr>
                  <w:r w:rsidRPr="0067360C">
                    <w:rPr>
                      <w:rFonts w:cstheme="minorHAnsi"/>
                      <w:color w:val="002060"/>
                    </w:rPr>
                    <w:t>0*</w:t>
                  </w:r>
                </w:p>
              </w:tc>
              <w:tc>
                <w:tcPr>
                  <w:tcW w:w="3323" w:type="dxa"/>
                </w:tcPr>
                <w:p w14:paraId="2F29FAE5" w14:textId="77777777" w:rsidR="00B65E21" w:rsidRPr="0067360C" w:rsidRDefault="00B65E21" w:rsidP="00B65E21">
                  <w:pPr>
                    <w:pStyle w:val="NoSpacing"/>
                    <w:jc w:val="center"/>
                    <w:rPr>
                      <w:rFonts w:cstheme="minorHAnsi"/>
                      <w:color w:val="002060"/>
                    </w:rPr>
                  </w:pPr>
                  <w:r w:rsidRPr="0067360C">
                    <w:rPr>
                      <w:rFonts w:cstheme="minorHAnsi"/>
                      <w:color w:val="002060"/>
                    </w:rPr>
                    <w:t>52</w:t>
                  </w:r>
                </w:p>
              </w:tc>
            </w:tr>
            <w:tr w:rsidR="003B3B1B" w:rsidRPr="0067360C" w14:paraId="38ABE31E" w14:textId="77777777" w:rsidTr="007F3EF9">
              <w:tc>
                <w:tcPr>
                  <w:tcW w:w="3323" w:type="dxa"/>
                </w:tcPr>
                <w:p w14:paraId="055C61A1" w14:textId="77777777" w:rsidR="003B3B1B" w:rsidRPr="002004FE" w:rsidRDefault="003B3B1B" w:rsidP="00B65E21">
                  <w:pPr>
                    <w:pStyle w:val="NoSpacing"/>
                    <w:jc w:val="center"/>
                    <w:rPr>
                      <w:rFonts w:cstheme="minorHAnsi"/>
                      <w:color w:val="002060"/>
                    </w:rPr>
                  </w:pPr>
                  <w:r w:rsidRPr="002004FE">
                    <w:rPr>
                      <w:rFonts w:cstheme="minorHAnsi"/>
                      <w:color w:val="002060"/>
                    </w:rPr>
                    <w:t>2021</w:t>
                  </w:r>
                  <w:r w:rsidR="004F571A" w:rsidRPr="002004FE">
                    <w:rPr>
                      <w:rFonts w:cstheme="minorHAnsi"/>
                      <w:color w:val="002060"/>
                    </w:rPr>
                    <w:t>**</w:t>
                  </w:r>
                </w:p>
              </w:tc>
              <w:tc>
                <w:tcPr>
                  <w:tcW w:w="3323" w:type="dxa"/>
                </w:tcPr>
                <w:p w14:paraId="441A032D" w14:textId="77777777" w:rsidR="003B3B1B" w:rsidRPr="002004FE" w:rsidRDefault="00DE2179" w:rsidP="00B65E21">
                  <w:pPr>
                    <w:pStyle w:val="NoSpacing"/>
                    <w:jc w:val="center"/>
                    <w:rPr>
                      <w:rFonts w:cstheme="minorHAnsi"/>
                      <w:color w:val="002060"/>
                    </w:rPr>
                  </w:pPr>
                  <w:r w:rsidRPr="002004FE">
                    <w:rPr>
                      <w:rFonts w:cstheme="minorHAnsi"/>
                      <w:color w:val="002060"/>
                    </w:rPr>
                    <w:t>4</w:t>
                  </w:r>
                  <w:r w:rsidR="009E0514" w:rsidRPr="002004FE">
                    <w:rPr>
                      <w:rFonts w:cstheme="minorHAnsi"/>
                      <w:color w:val="002060"/>
                    </w:rPr>
                    <w:t>*</w:t>
                  </w:r>
                  <w:r w:rsidR="004F571A" w:rsidRPr="002004FE">
                    <w:rPr>
                      <w:rFonts w:cstheme="minorHAnsi"/>
                      <w:color w:val="002060"/>
                    </w:rPr>
                    <w:t>**</w:t>
                  </w:r>
                </w:p>
              </w:tc>
              <w:tc>
                <w:tcPr>
                  <w:tcW w:w="3323" w:type="dxa"/>
                </w:tcPr>
                <w:p w14:paraId="34F8BD33" w14:textId="77777777" w:rsidR="003B3B1B" w:rsidRPr="002004FE" w:rsidRDefault="009E0514" w:rsidP="00B65E21">
                  <w:pPr>
                    <w:pStyle w:val="NoSpacing"/>
                    <w:jc w:val="center"/>
                    <w:rPr>
                      <w:rFonts w:cstheme="minorHAnsi"/>
                      <w:color w:val="002060"/>
                    </w:rPr>
                  </w:pPr>
                  <w:r w:rsidRPr="002004FE">
                    <w:rPr>
                      <w:rFonts w:cstheme="minorHAnsi"/>
                      <w:color w:val="002060"/>
                    </w:rPr>
                    <w:t>17</w:t>
                  </w:r>
                </w:p>
              </w:tc>
              <w:tc>
                <w:tcPr>
                  <w:tcW w:w="3323" w:type="dxa"/>
                </w:tcPr>
                <w:p w14:paraId="457F1DED" w14:textId="77777777" w:rsidR="003B3B1B" w:rsidRPr="002004FE" w:rsidRDefault="009E0514" w:rsidP="00B65E21">
                  <w:pPr>
                    <w:pStyle w:val="NoSpacing"/>
                    <w:jc w:val="center"/>
                    <w:rPr>
                      <w:rFonts w:cstheme="minorHAnsi"/>
                      <w:color w:val="002060"/>
                    </w:rPr>
                  </w:pPr>
                  <w:r w:rsidRPr="002004FE">
                    <w:rPr>
                      <w:rFonts w:cstheme="minorHAnsi"/>
                      <w:color w:val="002060"/>
                    </w:rPr>
                    <w:t>21</w:t>
                  </w:r>
                </w:p>
              </w:tc>
            </w:tr>
            <w:tr w:rsidR="003B3B1B" w:rsidRPr="0067360C" w14:paraId="0CD9ACF8" w14:textId="77777777" w:rsidTr="007F3EF9">
              <w:tc>
                <w:tcPr>
                  <w:tcW w:w="3323" w:type="dxa"/>
                </w:tcPr>
                <w:p w14:paraId="3534BD75" w14:textId="77777777" w:rsidR="003B3B1B" w:rsidRPr="002004FE" w:rsidRDefault="003B3B1B" w:rsidP="00B65E21">
                  <w:pPr>
                    <w:pStyle w:val="NoSpacing"/>
                    <w:jc w:val="center"/>
                    <w:rPr>
                      <w:rFonts w:cstheme="minorHAnsi"/>
                      <w:color w:val="002060"/>
                    </w:rPr>
                  </w:pPr>
                  <w:r w:rsidRPr="002004FE">
                    <w:rPr>
                      <w:rFonts w:cstheme="minorHAnsi"/>
                      <w:color w:val="002060"/>
                    </w:rPr>
                    <w:t>2022</w:t>
                  </w:r>
                </w:p>
              </w:tc>
              <w:tc>
                <w:tcPr>
                  <w:tcW w:w="3323" w:type="dxa"/>
                </w:tcPr>
                <w:p w14:paraId="4354F6E3" w14:textId="77777777" w:rsidR="003B3B1B" w:rsidRPr="002004FE" w:rsidRDefault="009E0514" w:rsidP="00B65E21">
                  <w:pPr>
                    <w:pStyle w:val="NoSpacing"/>
                    <w:jc w:val="center"/>
                    <w:rPr>
                      <w:rFonts w:cstheme="minorHAnsi"/>
                      <w:color w:val="002060"/>
                    </w:rPr>
                  </w:pPr>
                  <w:r w:rsidRPr="002004FE">
                    <w:rPr>
                      <w:rFonts w:cstheme="minorHAnsi"/>
                      <w:color w:val="002060"/>
                    </w:rPr>
                    <w:t>15</w:t>
                  </w:r>
                </w:p>
              </w:tc>
              <w:tc>
                <w:tcPr>
                  <w:tcW w:w="3323" w:type="dxa"/>
                </w:tcPr>
                <w:p w14:paraId="2D9043F3" w14:textId="77777777" w:rsidR="003B3B1B" w:rsidRPr="002004FE" w:rsidRDefault="009E0514" w:rsidP="00B65E21">
                  <w:pPr>
                    <w:pStyle w:val="NoSpacing"/>
                    <w:jc w:val="center"/>
                    <w:rPr>
                      <w:rFonts w:cstheme="minorHAnsi"/>
                      <w:color w:val="002060"/>
                    </w:rPr>
                  </w:pPr>
                  <w:r w:rsidRPr="002004FE">
                    <w:rPr>
                      <w:rFonts w:cstheme="minorHAnsi"/>
                      <w:color w:val="002060"/>
                    </w:rPr>
                    <w:t>14</w:t>
                  </w:r>
                </w:p>
              </w:tc>
              <w:tc>
                <w:tcPr>
                  <w:tcW w:w="3323" w:type="dxa"/>
                </w:tcPr>
                <w:p w14:paraId="128B80D2" w14:textId="77777777" w:rsidR="003B3B1B" w:rsidRPr="002004FE" w:rsidRDefault="009E0514" w:rsidP="00B65E21">
                  <w:pPr>
                    <w:pStyle w:val="NoSpacing"/>
                    <w:jc w:val="center"/>
                    <w:rPr>
                      <w:rFonts w:cstheme="minorHAnsi"/>
                      <w:color w:val="002060"/>
                    </w:rPr>
                  </w:pPr>
                  <w:r w:rsidRPr="002004FE">
                    <w:rPr>
                      <w:rFonts w:cstheme="minorHAnsi"/>
                      <w:color w:val="002060"/>
                    </w:rPr>
                    <w:t>15</w:t>
                  </w:r>
                </w:p>
              </w:tc>
            </w:tr>
          </w:tbl>
          <w:p w14:paraId="15CD4DCF" w14:textId="77777777" w:rsidR="00B65E21" w:rsidRPr="0067360C" w:rsidRDefault="00B65E21" w:rsidP="00B65E21">
            <w:pPr>
              <w:pStyle w:val="NoSpacing"/>
              <w:rPr>
                <w:rFonts w:cstheme="minorHAnsi"/>
                <w:color w:val="002060"/>
              </w:rPr>
            </w:pPr>
          </w:p>
          <w:p w14:paraId="002EBC05" w14:textId="1743A3C8" w:rsidR="00B65E21" w:rsidRDefault="00B65E21" w:rsidP="00B65E21">
            <w:pPr>
              <w:pStyle w:val="NoSpacing"/>
              <w:rPr>
                <w:rFonts w:cstheme="minorHAnsi"/>
                <w:color w:val="002060"/>
              </w:rPr>
            </w:pPr>
            <w:r w:rsidRPr="0067360C">
              <w:rPr>
                <w:rFonts w:cstheme="minorHAnsi"/>
                <w:color w:val="002060"/>
              </w:rPr>
              <w:t xml:space="preserve">* </w:t>
            </w:r>
            <w:r w:rsidR="00B51A1C">
              <w:rPr>
                <w:rFonts w:cstheme="minorHAnsi"/>
                <w:color w:val="002060"/>
              </w:rPr>
              <w:t xml:space="preserve">When </w:t>
            </w:r>
            <w:r w:rsidRPr="0067360C">
              <w:rPr>
                <w:rFonts w:cstheme="minorHAnsi"/>
                <w:color w:val="002060"/>
              </w:rPr>
              <w:t xml:space="preserve">campuses </w:t>
            </w:r>
            <w:r w:rsidR="00B51A1C">
              <w:rPr>
                <w:rFonts w:cstheme="minorHAnsi"/>
                <w:color w:val="002060"/>
              </w:rPr>
              <w:t>first re</w:t>
            </w:r>
            <w:r w:rsidRPr="0067360C">
              <w:rPr>
                <w:rFonts w:cstheme="minorHAnsi"/>
                <w:color w:val="002060"/>
              </w:rPr>
              <w:t>open</w:t>
            </w:r>
            <w:r w:rsidR="00B51A1C">
              <w:rPr>
                <w:rFonts w:cstheme="minorHAnsi"/>
                <w:color w:val="002060"/>
              </w:rPr>
              <w:t>ed</w:t>
            </w:r>
            <w:r w:rsidRPr="0067360C">
              <w:rPr>
                <w:rFonts w:cstheme="minorHAnsi"/>
                <w:color w:val="002060"/>
              </w:rPr>
              <w:t xml:space="preserve">, student and advisors met via </w:t>
            </w:r>
            <w:r w:rsidR="00B51A1C">
              <w:rPr>
                <w:rFonts w:cstheme="minorHAnsi"/>
                <w:color w:val="002060"/>
              </w:rPr>
              <w:t xml:space="preserve">scheduled appointments using Microsoft </w:t>
            </w:r>
            <w:r w:rsidRPr="0067360C">
              <w:rPr>
                <w:rFonts w:cstheme="minorHAnsi"/>
                <w:color w:val="002060"/>
              </w:rPr>
              <w:t xml:space="preserve">Bookings opposed to </w:t>
            </w:r>
            <w:r w:rsidR="00B51A1C">
              <w:rPr>
                <w:rFonts w:cstheme="minorHAnsi"/>
                <w:color w:val="002060"/>
              </w:rPr>
              <w:t xml:space="preserve">walk-ins signing in to </w:t>
            </w:r>
            <w:r w:rsidRPr="0067360C">
              <w:rPr>
                <w:rFonts w:cstheme="minorHAnsi"/>
                <w:color w:val="002060"/>
              </w:rPr>
              <w:t>QLess. As such</w:t>
            </w:r>
            <w:r w:rsidR="00B51A1C">
              <w:rPr>
                <w:rFonts w:cstheme="minorHAnsi"/>
                <w:color w:val="002060"/>
              </w:rPr>
              <w:t>,</w:t>
            </w:r>
            <w:r w:rsidRPr="0067360C">
              <w:rPr>
                <w:rFonts w:cstheme="minorHAnsi"/>
                <w:color w:val="002060"/>
              </w:rPr>
              <w:t xml:space="preserve"> </w:t>
            </w:r>
            <w:r w:rsidR="002004FE">
              <w:rPr>
                <w:rFonts w:cstheme="minorHAnsi"/>
                <w:color w:val="002060"/>
              </w:rPr>
              <w:t xml:space="preserve">the department was </w:t>
            </w:r>
            <w:r w:rsidRPr="0067360C">
              <w:rPr>
                <w:rFonts w:cstheme="minorHAnsi"/>
                <w:color w:val="002060"/>
              </w:rPr>
              <w:t>not able to track wait time</w:t>
            </w:r>
            <w:r w:rsidR="00635666">
              <w:rPr>
                <w:rFonts w:cstheme="minorHAnsi"/>
                <w:color w:val="002060"/>
              </w:rPr>
              <w:t xml:space="preserve"> since appointments were used</w:t>
            </w:r>
            <w:r w:rsidR="00F90438">
              <w:rPr>
                <w:rFonts w:cstheme="minorHAnsi"/>
                <w:color w:val="002060"/>
              </w:rPr>
              <w:t>.</w:t>
            </w:r>
          </w:p>
          <w:p w14:paraId="1BEFB9AD" w14:textId="4B490DB6" w:rsidR="004F571A" w:rsidRPr="007D1DD5" w:rsidRDefault="004F571A" w:rsidP="00B65E21">
            <w:pPr>
              <w:pStyle w:val="NoSpacing"/>
              <w:rPr>
                <w:rFonts w:cstheme="minorHAnsi"/>
              </w:rPr>
            </w:pPr>
            <w:r w:rsidRPr="007D1DD5">
              <w:rPr>
                <w:rFonts w:cstheme="minorHAnsi"/>
              </w:rPr>
              <w:t xml:space="preserve">** In 2021, Collin opened  the Farmersville and Celina campuses </w:t>
            </w:r>
            <w:r w:rsidR="002004FE">
              <w:rPr>
                <w:rFonts w:cstheme="minorHAnsi"/>
              </w:rPr>
              <w:t>(</w:t>
            </w:r>
            <w:r w:rsidRPr="007D1DD5">
              <w:rPr>
                <w:rFonts w:cstheme="minorHAnsi"/>
              </w:rPr>
              <w:t>in addition to the Wylie and Tech campuses which opened in 2020</w:t>
            </w:r>
            <w:r w:rsidR="002004FE">
              <w:rPr>
                <w:rFonts w:cstheme="minorHAnsi"/>
              </w:rPr>
              <w:t>)</w:t>
            </w:r>
            <w:r w:rsidRPr="007D1DD5">
              <w:rPr>
                <w:rFonts w:cstheme="minorHAnsi"/>
              </w:rPr>
              <w:t xml:space="preserve"> adding 4 new campuses for a </w:t>
            </w:r>
            <w:r w:rsidR="002004FE">
              <w:rPr>
                <w:rFonts w:cstheme="minorHAnsi"/>
              </w:rPr>
              <w:t xml:space="preserve">district </w:t>
            </w:r>
            <w:r w:rsidRPr="007D1DD5">
              <w:rPr>
                <w:rFonts w:cstheme="minorHAnsi"/>
              </w:rPr>
              <w:t xml:space="preserve">total of 8 campuses providing Advising services.  </w:t>
            </w:r>
          </w:p>
          <w:p w14:paraId="56B2DB9E" w14:textId="77777777" w:rsidR="007D1DD5" w:rsidRPr="007D1DD5" w:rsidRDefault="007D1DD5" w:rsidP="00B65E21">
            <w:pPr>
              <w:pStyle w:val="NoSpacing"/>
              <w:rPr>
                <w:rFonts w:cstheme="minorHAnsi"/>
              </w:rPr>
            </w:pPr>
            <w:r w:rsidRPr="007D1DD5">
              <w:rPr>
                <w:rFonts w:cstheme="minorHAnsi"/>
              </w:rPr>
              <w:t>*** January 2021 wait times average do not include wait times for Frisco, McKinney, and Plano whose data was unavailable.</w:t>
            </w:r>
          </w:p>
          <w:p w14:paraId="26A02659" w14:textId="77777777" w:rsidR="00BE7B86" w:rsidRPr="00210107" w:rsidRDefault="00BE7B86" w:rsidP="009E0514">
            <w:pPr>
              <w:pStyle w:val="NoSpacing"/>
              <w:rPr>
                <w:rFonts w:ascii="Arial" w:hAnsi="Arial" w:cs="Arial"/>
                <w:sz w:val="20"/>
                <w:szCs w:val="20"/>
              </w:rPr>
            </w:pPr>
          </w:p>
        </w:tc>
      </w:tr>
      <w:tr w:rsidR="00C76636" w:rsidRPr="00210107" w14:paraId="5FB6375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96FA43" w14:textId="77777777" w:rsidR="00C76636" w:rsidRPr="00210107" w:rsidRDefault="00635666" w:rsidP="0000023D">
            <w:pPr>
              <w:pStyle w:val="NoSpacing"/>
              <w:numPr>
                <w:ilvl w:val="0"/>
                <w:numId w:val="2"/>
              </w:numPr>
              <w:rPr>
                <w:rFonts w:ascii="Arial" w:hAnsi="Arial" w:cs="Arial"/>
                <w:b/>
                <w:sz w:val="20"/>
                <w:szCs w:val="20"/>
              </w:rPr>
            </w:pPr>
            <w:r>
              <w:rPr>
                <w:rFonts w:ascii="Arial" w:hAnsi="Arial" w:cs="Arial"/>
                <w:b/>
                <w:sz w:val="20"/>
                <w:szCs w:val="20"/>
              </w:rPr>
              <w:t>Findings (Outcome #2</w:t>
            </w:r>
            <w:r w:rsidR="00C76636" w:rsidRPr="00210107">
              <w:rPr>
                <w:rFonts w:ascii="Arial" w:hAnsi="Arial" w:cs="Arial"/>
                <w:b/>
                <w:sz w:val="20"/>
                <w:szCs w:val="20"/>
              </w:rPr>
              <w:t>)</w:t>
            </w:r>
          </w:p>
          <w:p w14:paraId="1E0BAE64" w14:textId="77777777" w:rsidR="00B65E21" w:rsidRDefault="00B65E21" w:rsidP="00B65E21">
            <w:pPr>
              <w:pStyle w:val="NoSpacing"/>
              <w:rPr>
                <w:rFonts w:cstheme="minorHAnsi"/>
                <w:color w:val="002060"/>
              </w:rPr>
            </w:pPr>
            <w:r w:rsidRPr="0067360C">
              <w:rPr>
                <w:rFonts w:cstheme="minorHAnsi"/>
                <w:color w:val="002060"/>
              </w:rPr>
              <w:t xml:space="preserve">Findings for the comparison of 2019 and </w:t>
            </w:r>
            <w:r w:rsidR="00F90438">
              <w:rPr>
                <w:rFonts w:cstheme="minorHAnsi"/>
                <w:color w:val="002060"/>
              </w:rPr>
              <w:t>2020 are incomplete due to impact of Covid-19 resulting in campus closure</w:t>
            </w:r>
            <w:r w:rsidR="00635666">
              <w:rPr>
                <w:rFonts w:cstheme="minorHAnsi"/>
                <w:color w:val="002060"/>
              </w:rPr>
              <w:t>; there was n</w:t>
            </w:r>
            <w:r w:rsidRPr="0067360C">
              <w:rPr>
                <w:rFonts w:cstheme="minorHAnsi"/>
                <w:color w:val="002060"/>
              </w:rPr>
              <w:t xml:space="preserve">o QLess data </w:t>
            </w:r>
            <w:r w:rsidR="00635666">
              <w:rPr>
                <w:rFonts w:cstheme="minorHAnsi"/>
                <w:color w:val="002060"/>
              </w:rPr>
              <w:t>for J</w:t>
            </w:r>
            <w:r w:rsidRPr="0067360C">
              <w:rPr>
                <w:rFonts w:cstheme="minorHAnsi"/>
                <w:color w:val="002060"/>
              </w:rPr>
              <w:t xml:space="preserve">uly 2020 and inconsistent numbers for August 2020. </w:t>
            </w:r>
            <w:r w:rsidR="00F90438">
              <w:rPr>
                <w:rFonts w:cstheme="minorHAnsi"/>
                <w:color w:val="002060"/>
              </w:rPr>
              <w:t>Microsoft Bookings</w:t>
            </w:r>
            <w:r w:rsidRPr="0067360C">
              <w:rPr>
                <w:rFonts w:cstheme="minorHAnsi"/>
                <w:color w:val="002060"/>
              </w:rPr>
              <w:t xml:space="preserve"> was used for</w:t>
            </w:r>
            <w:r w:rsidR="00F90438">
              <w:rPr>
                <w:rFonts w:cstheme="minorHAnsi"/>
                <w:color w:val="002060"/>
              </w:rPr>
              <w:t xml:space="preserve"> appointments in</w:t>
            </w:r>
            <w:r w:rsidRPr="0067360C">
              <w:rPr>
                <w:rFonts w:cstheme="minorHAnsi"/>
                <w:color w:val="002060"/>
              </w:rPr>
              <w:t xml:space="preserve"> July and some of August, opposed to </w:t>
            </w:r>
            <w:r w:rsidR="00F90438">
              <w:rPr>
                <w:rFonts w:cstheme="minorHAnsi"/>
                <w:color w:val="002060"/>
              </w:rPr>
              <w:t xml:space="preserve">walk-in service using </w:t>
            </w:r>
            <w:r w:rsidRPr="0067360C">
              <w:rPr>
                <w:rFonts w:cstheme="minorHAnsi"/>
                <w:color w:val="002060"/>
              </w:rPr>
              <w:t>QLess</w:t>
            </w:r>
            <w:r w:rsidR="00F90438">
              <w:rPr>
                <w:rFonts w:cstheme="minorHAnsi"/>
                <w:color w:val="002060"/>
              </w:rPr>
              <w:t>.</w:t>
            </w:r>
            <w:r w:rsidR="00635666">
              <w:rPr>
                <w:rFonts w:cstheme="minorHAnsi"/>
                <w:color w:val="002060"/>
              </w:rPr>
              <w:t xml:space="preserve">  Online sessions were also offered but there was not a way to track average wait time for those students.</w:t>
            </w:r>
          </w:p>
          <w:p w14:paraId="412DE1D5" w14:textId="77777777" w:rsidR="009E0514" w:rsidRDefault="009E0514" w:rsidP="00B65E21">
            <w:pPr>
              <w:pStyle w:val="NoSpacing"/>
              <w:rPr>
                <w:rFonts w:cstheme="minorHAnsi"/>
                <w:b/>
                <w:color w:val="002060"/>
              </w:rPr>
            </w:pPr>
          </w:p>
          <w:p w14:paraId="183D885D" w14:textId="77777777" w:rsidR="009E0514" w:rsidRPr="007D1DD5" w:rsidRDefault="009E0514" w:rsidP="009E0514">
            <w:pPr>
              <w:pStyle w:val="NoSpacing"/>
              <w:rPr>
                <w:rFonts w:cstheme="minorHAnsi"/>
                <w:u w:val="single"/>
              </w:rPr>
            </w:pPr>
            <w:r w:rsidRPr="007D1DD5">
              <w:rPr>
                <w:rFonts w:cstheme="minorHAnsi"/>
                <w:u w:val="single"/>
              </w:rPr>
              <w:t>Update: February 2023</w:t>
            </w:r>
          </w:p>
          <w:p w14:paraId="0BA5256A" w14:textId="00D90B91" w:rsidR="009E0514" w:rsidRPr="007D1DD5" w:rsidRDefault="004F571A" w:rsidP="00B65E21">
            <w:pPr>
              <w:pStyle w:val="NoSpacing"/>
              <w:rPr>
                <w:rFonts w:cstheme="minorHAnsi"/>
                <w:color w:val="002060"/>
              </w:rPr>
            </w:pPr>
            <w:r w:rsidRPr="007D1DD5">
              <w:rPr>
                <w:rFonts w:cstheme="minorHAnsi"/>
              </w:rPr>
              <w:t xml:space="preserve">While the </w:t>
            </w:r>
            <w:r w:rsidR="007D1DD5" w:rsidRPr="007D1DD5">
              <w:rPr>
                <w:rFonts w:cstheme="minorHAnsi"/>
              </w:rPr>
              <w:t xml:space="preserve">onset and continuation of the Covid-19 </w:t>
            </w:r>
            <w:r w:rsidRPr="007D1DD5">
              <w:rPr>
                <w:rFonts w:cstheme="minorHAnsi"/>
              </w:rPr>
              <w:t>pand</w:t>
            </w:r>
            <w:r w:rsidR="007D1DD5" w:rsidRPr="007D1DD5">
              <w:rPr>
                <w:rFonts w:cstheme="minorHAnsi"/>
              </w:rPr>
              <w:t>e</w:t>
            </w:r>
            <w:r w:rsidRPr="007D1DD5">
              <w:rPr>
                <w:rFonts w:cstheme="minorHAnsi"/>
              </w:rPr>
              <w:t>mic</w:t>
            </w:r>
            <w:r w:rsidR="007D1DD5" w:rsidRPr="007D1DD5">
              <w:rPr>
                <w:rFonts w:cstheme="minorHAnsi"/>
              </w:rPr>
              <w:t xml:space="preserve"> impact</w:t>
            </w:r>
            <w:r w:rsidR="002004FE">
              <w:rPr>
                <w:rFonts w:cstheme="minorHAnsi"/>
              </w:rPr>
              <w:t>ed</w:t>
            </w:r>
            <w:r w:rsidR="007D1DD5" w:rsidRPr="007D1DD5">
              <w:rPr>
                <w:rFonts w:cstheme="minorHAnsi"/>
              </w:rPr>
              <w:t xml:space="preserve"> services in 2020, disruption to services were minimized in 2021 and 2022. All average peak registration wait times</w:t>
            </w:r>
            <w:r w:rsidR="007D1DD5">
              <w:rPr>
                <w:rFonts w:cstheme="minorHAnsi"/>
              </w:rPr>
              <w:t xml:space="preserve"> for Advising services</w:t>
            </w:r>
            <w:r w:rsidR="007D1DD5" w:rsidRPr="007D1DD5">
              <w:rPr>
                <w:rFonts w:cstheme="minorHAnsi"/>
              </w:rPr>
              <w:t xml:space="preserve"> saw a drastic reduction from prior years</w:t>
            </w:r>
            <w:r w:rsidR="007D1DD5">
              <w:rPr>
                <w:rFonts w:cstheme="minorHAnsi"/>
              </w:rPr>
              <w:t>, falling well below the target outcome of an average of 27</w:t>
            </w:r>
            <w:r w:rsidR="00BE045D">
              <w:rPr>
                <w:rFonts w:cstheme="minorHAnsi"/>
              </w:rPr>
              <w:t xml:space="preserve"> minutes.</w:t>
            </w:r>
            <w:r w:rsidR="007D1DD5">
              <w:rPr>
                <w:rFonts w:cstheme="minorHAnsi"/>
                <w:color w:val="002060"/>
              </w:rPr>
              <w:t xml:space="preserve"> </w:t>
            </w:r>
            <w:r w:rsidR="007D1DD5" w:rsidRPr="00765707">
              <w:rPr>
                <w:rFonts w:cstheme="minorHAnsi"/>
              </w:rPr>
              <w:t xml:space="preserve">This drastic reduction </w:t>
            </w:r>
            <w:r w:rsidR="00BE045D" w:rsidRPr="00765707">
              <w:rPr>
                <w:rFonts w:cstheme="minorHAnsi"/>
              </w:rPr>
              <w:t xml:space="preserve">in average </w:t>
            </w:r>
            <w:r w:rsidR="007D1DD5" w:rsidRPr="00765707">
              <w:rPr>
                <w:rFonts w:cstheme="minorHAnsi"/>
              </w:rPr>
              <w:t xml:space="preserve">wait time can be contributed directly to the addition of the 4 new campuses who boast significantly less student traffic and </w:t>
            </w:r>
            <w:r w:rsidR="00BE045D" w:rsidRPr="00765707">
              <w:rPr>
                <w:rFonts w:cstheme="minorHAnsi"/>
              </w:rPr>
              <w:t xml:space="preserve">average </w:t>
            </w:r>
            <w:r w:rsidR="007D1DD5" w:rsidRPr="00765707">
              <w:rPr>
                <w:rFonts w:cstheme="minorHAnsi"/>
              </w:rPr>
              <w:t>wait time accordingly. It should be noted that taking the average wait times of the Courtyard, Frisco, McKinney, and Plano campuses for July 2021 (28 minutes)</w:t>
            </w:r>
            <w:r w:rsidR="00BE045D" w:rsidRPr="00765707">
              <w:rPr>
                <w:rFonts w:cstheme="minorHAnsi"/>
              </w:rPr>
              <w:t xml:space="preserve"> and August 2021 (37 minutes) are above </w:t>
            </w:r>
            <w:r w:rsidR="007D1DD5" w:rsidRPr="00765707">
              <w:rPr>
                <w:rFonts w:cstheme="minorHAnsi"/>
              </w:rPr>
              <w:t>the 27</w:t>
            </w:r>
            <w:r w:rsidR="00BE045D" w:rsidRPr="00765707">
              <w:rPr>
                <w:rFonts w:cstheme="minorHAnsi"/>
              </w:rPr>
              <w:t xml:space="preserve"> minutes</w:t>
            </w:r>
            <w:r w:rsidR="007D1DD5" w:rsidRPr="00765707">
              <w:rPr>
                <w:rFonts w:cstheme="minorHAnsi"/>
              </w:rPr>
              <w:t xml:space="preserve"> desired outcome </w:t>
            </w:r>
            <w:r w:rsidR="00BE045D" w:rsidRPr="00765707">
              <w:rPr>
                <w:rFonts w:cstheme="minorHAnsi"/>
              </w:rPr>
              <w:t xml:space="preserve">but show improvement over all prior year averages. </w:t>
            </w:r>
            <w:r w:rsidR="002004FE">
              <w:rPr>
                <w:rFonts w:cstheme="minorHAnsi"/>
              </w:rPr>
              <w:t xml:space="preserve">Students </w:t>
            </w:r>
            <w:r w:rsidR="002004FE">
              <w:rPr>
                <w:rFonts w:cstheme="minorHAnsi"/>
              </w:rPr>
              <w:t xml:space="preserve">at these campuses </w:t>
            </w:r>
            <w:r w:rsidR="002004FE">
              <w:rPr>
                <w:rFonts w:cstheme="minorHAnsi"/>
              </w:rPr>
              <w:t>were also given an opportunity to conduct quick service transactions without signing in to the que</w:t>
            </w:r>
            <w:r w:rsidR="002004FE">
              <w:rPr>
                <w:rFonts w:cstheme="minorHAnsi"/>
              </w:rPr>
              <w:t xml:space="preserve">. These faster service times </w:t>
            </w:r>
            <w:r w:rsidR="003578A2">
              <w:rPr>
                <w:rFonts w:cstheme="minorHAnsi"/>
              </w:rPr>
              <w:t xml:space="preserve">were removed </w:t>
            </w:r>
            <w:r w:rsidR="002004FE">
              <w:rPr>
                <w:rFonts w:cstheme="minorHAnsi"/>
              </w:rPr>
              <w:t xml:space="preserve">from the overall </w:t>
            </w:r>
            <w:r w:rsidR="003578A2">
              <w:rPr>
                <w:rFonts w:cstheme="minorHAnsi"/>
              </w:rPr>
              <w:t xml:space="preserve">calculation resulting in only the longer advising sessions being captured.  </w:t>
            </w:r>
            <w:r w:rsidR="00BE045D" w:rsidRPr="00765707">
              <w:rPr>
                <w:rFonts w:cstheme="minorHAnsi"/>
              </w:rPr>
              <w:t>The Courtyard, Frisco, McKinney, and Plano campuses meet or exceed the desired outcome of averaging 27 minutes or less for January 2022 (25 minutes)</w:t>
            </w:r>
            <w:r w:rsidR="00274D44">
              <w:rPr>
                <w:rFonts w:cstheme="minorHAnsi"/>
              </w:rPr>
              <w:t>,</w:t>
            </w:r>
            <w:r w:rsidR="00BE045D" w:rsidRPr="00765707">
              <w:rPr>
                <w:rFonts w:cstheme="minorHAnsi"/>
              </w:rPr>
              <w:t xml:space="preserve"> July 2022 (26 minutes), and August 2022 (27 minutes).</w:t>
            </w:r>
          </w:p>
          <w:p w14:paraId="59990DE0" w14:textId="77777777" w:rsidR="00C76636" w:rsidRPr="00210107" w:rsidRDefault="00C76636" w:rsidP="00C76636">
            <w:pPr>
              <w:pStyle w:val="NoSpacing"/>
              <w:rPr>
                <w:rFonts w:ascii="Arial" w:hAnsi="Arial" w:cs="Arial"/>
                <w:sz w:val="20"/>
                <w:szCs w:val="20"/>
              </w:rPr>
            </w:pPr>
          </w:p>
        </w:tc>
      </w:tr>
      <w:tr w:rsidR="00C76636" w:rsidRPr="00210107" w14:paraId="6DD2851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C7522AC"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r w:rsidR="00635666">
              <w:rPr>
                <w:rFonts w:ascii="Arial" w:hAnsi="Arial" w:cs="Arial"/>
                <w:b/>
                <w:sz w:val="20"/>
                <w:szCs w:val="20"/>
              </w:rPr>
              <w:t xml:space="preserve"> </w:t>
            </w:r>
            <w:r w:rsidR="00635666" w:rsidRPr="00635666">
              <w:rPr>
                <w:rFonts w:cstheme="minorHAnsi"/>
                <w:b/>
              </w:rPr>
              <w:t>(Outcome #2)</w:t>
            </w:r>
          </w:p>
          <w:p w14:paraId="64C0112D" w14:textId="77777777" w:rsidR="00B65E21" w:rsidRDefault="00786BD1" w:rsidP="00786BD1">
            <w:pPr>
              <w:rPr>
                <w:rFonts w:cstheme="minorHAnsi"/>
                <w:color w:val="002060"/>
              </w:rPr>
            </w:pPr>
            <w:r>
              <w:rPr>
                <w:rFonts w:cstheme="minorHAnsi"/>
                <w:color w:val="002060"/>
              </w:rPr>
              <w:t xml:space="preserve">The overall goal to reduce the average wait time is still being pursued. There are new service models being introduced that should help bring the average wait time down. Case management enables those in advising roles to be familiar with a student’s record and will reduce time needed to </w:t>
            </w:r>
            <w:r>
              <w:rPr>
                <w:rFonts w:cstheme="minorHAnsi"/>
                <w:color w:val="002060"/>
              </w:rPr>
              <w:lastRenderedPageBreak/>
              <w:t>research and review pertinent information related to the academic goal of the student. Content of the advising session can be streamlined. The wait time of students who are being served online cannot be currently tracked. Additionally, the software recently had an update that now lists students in alpha order, not by order of entry. There are some opportunities to enhance the online advising sessions and these will be explored as part of the next year CIP.</w:t>
            </w:r>
          </w:p>
          <w:p w14:paraId="375FCC61" w14:textId="77777777" w:rsidR="009E0514" w:rsidRPr="00274D44" w:rsidRDefault="009E0514" w:rsidP="009E0514">
            <w:pPr>
              <w:pStyle w:val="NoSpacing"/>
              <w:rPr>
                <w:rFonts w:cstheme="minorHAnsi"/>
                <w:u w:val="single"/>
              </w:rPr>
            </w:pPr>
            <w:r w:rsidRPr="00274D44">
              <w:rPr>
                <w:rFonts w:cstheme="minorHAnsi"/>
                <w:u w:val="single"/>
              </w:rPr>
              <w:t>Update: February 2023</w:t>
            </w:r>
          </w:p>
          <w:p w14:paraId="713087B1" w14:textId="0B0AB3BA" w:rsidR="009E0514" w:rsidRPr="00786BD1" w:rsidRDefault="009230D0" w:rsidP="00786BD1">
            <w:pPr>
              <w:rPr>
                <w:rFonts w:cstheme="minorHAnsi"/>
                <w:color w:val="002060"/>
              </w:rPr>
            </w:pPr>
            <w:r w:rsidRPr="00274D44">
              <w:rPr>
                <w:rFonts w:cstheme="minorHAnsi"/>
              </w:rPr>
              <w:t xml:space="preserve">The goal of reducing wait time for students is constantly being pursued as we continue to explore and implement new services that allow us to better serve students digitally, virtually, and in person. Case management on a mass scale was explored but ultimately was only implemented on the McKinney campus with some of the health professions. A determination on scalability has not yet been made. In October 2022, Academic Advising implemented virtual advising using Moderro software replacing zoom. This transition to Moderro now allows us to track wait and service times of </w:t>
            </w:r>
            <w:r w:rsidR="002004FE">
              <w:rPr>
                <w:rFonts w:cstheme="minorHAnsi"/>
              </w:rPr>
              <w:t xml:space="preserve">online </w:t>
            </w:r>
            <w:r w:rsidRPr="00274D44">
              <w:rPr>
                <w:rFonts w:cstheme="minorHAnsi"/>
              </w:rPr>
              <w:t>students, a feature not available through zoom.</w:t>
            </w:r>
            <w:r w:rsidR="002004FE">
              <w:rPr>
                <w:rFonts w:cstheme="minorHAnsi"/>
              </w:rPr>
              <w:t xml:space="preserve"> Students were also given an opportunity to conduct quick service transactions without signing in to the que.</w:t>
            </w:r>
            <w:r w:rsidR="003578A2">
              <w:rPr>
                <w:rFonts w:cstheme="minorHAnsi"/>
              </w:rPr>
              <w:t xml:space="preserve"> The current service model being explored is having advising team members assigned to programs within a Career Cluster to focus on strategic outreach for a case-management type service.</w:t>
            </w:r>
            <w:r w:rsidRPr="00274D44">
              <w:rPr>
                <w:rFonts w:cstheme="minorHAnsi"/>
              </w:rPr>
              <w:t xml:space="preserve">   </w:t>
            </w:r>
          </w:p>
        </w:tc>
      </w:tr>
      <w:tr w:rsidR="00635666" w:rsidRPr="00210107" w14:paraId="182E3E42" w14:textId="77777777" w:rsidTr="00635666">
        <w:trPr>
          <w:trHeight w:val="710"/>
        </w:trPr>
        <w:tc>
          <w:tcPr>
            <w:tcW w:w="13518" w:type="dxa"/>
            <w:gridSpan w:val="2"/>
            <w:tcBorders>
              <w:top w:val="single" w:sz="12" w:space="0" w:color="5B9BD5" w:themeColor="accent1"/>
              <w:left w:val="nil"/>
              <w:bottom w:val="single" w:sz="12" w:space="0" w:color="5B9BD5" w:themeColor="accent1"/>
              <w:right w:val="nil"/>
            </w:tcBorders>
          </w:tcPr>
          <w:p w14:paraId="4047A914" w14:textId="77777777" w:rsidR="00635666" w:rsidRPr="00210107" w:rsidRDefault="00635666" w:rsidP="00635666">
            <w:pPr>
              <w:pStyle w:val="NoSpacing"/>
              <w:ind w:left="720"/>
              <w:rPr>
                <w:rFonts w:ascii="Arial" w:hAnsi="Arial" w:cs="Arial"/>
                <w:b/>
                <w:sz w:val="20"/>
                <w:szCs w:val="20"/>
              </w:rPr>
            </w:pPr>
          </w:p>
        </w:tc>
      </w:tr>
      <w:tr w:rsidR="00B65E21" w:rsidRPr="00210107" w14:paraId="6A732A88" w14:textId="77777777" w:rsidTr="007F3EF9">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172339" w14:textId="77777777" w:rsidR="00B65E21" w:rsidRPr="00210107" w:rsidRDefault="00B65E21" w:rsidP="00B65E21">
            <w:pPr>
              <w:pStyle w:val="NoSpacing"/>
              <w:numPr>
                <w:ilvl w:val="0"/>
                <w:numId w:val="3"/>
              </w:numPr>
              <w:rPr>
                <w:rFonts w:ascii="Arial" w:hAnsi="Arial" w:cs="Arial"/>
                <w:b/>
                <w:sz w:val="20"/>
                <w:szCs w:val="20"/>
              </w:rPr>
            </w:pPr>
            <w:r>
              <w:rPr>
                <w:rFonts w:ascii="Arial" w:hAnsi="Arial" w:cs="Arial"/>
                <w:b/>
                <w:sz w:val="20"/>
                <w:szCs w:val="20"/>
              </w:rPr>
              <w:t>Outcome #3</w:t>
            </w:r>
          </w:p>
          <w:p w14:paraId="2FAF12DB" w14:textId="77777777" w:rsidR="00B65E21" w:rsidRPr="00210107" w:rsidRDefault="00BA47CA" w:rsidP="007F3EF9">
            <w:pPr>
              <w:pStyle w:val="NoSpacing"/>
              <w:rPr>
                <w:rFonts w:ascii="Arial" w:hAnsi="Arial" w:cs="Arial"/>
                <w:sz w:val="20"/>
                <w:szCs w:val="20"/>
              </w:rPr>
            </w:pPr>
            <w:r w:rsidRPr="00055150">
              <w:rPr>
                <w:color w:val="002060"/>
              </w:rPr>
              <w:t>Increase the number / percentage of Cougar Compass degree audits completed by students.</w:t>
            </w:r>
          </w:p>
        </w:tc>
      </w:tr>
      <w:tr w:rsidR="00B65E21" w:rsidRPr="00210107" w14:paraId="7BB348CF" w14:textId="77777777" w:rsidTr="007F3EF9">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338E7A" w14:textId="77777777" w:rsidR="00B65E21" w:rsidRPr="00210107" w:rsidRDefault="00B65E21" w:rsidP="00B65E21">
            <w:pPr>
              <w:pStyle w:val="NoSpacing"/>
              <w:numPr>
                <w:ilvl w:val="0"/>
                <w:numId w:val="3"/>
              </w:numPr>
              <w:rPr>
                <w:rFonts w:ascii="Arial" w:hAnsi="Arial" w:cs="Arial"/>
                <w:b/>
                <w:sz w:val="20"/>
                <w:szCs w:val="20"/>
              </w:rPr>
            </w:pPr>
            <w:r w:rsidRPr="00210107">
              <w:rPr>
                <w:rFonts w:ascii="Arial" w:hAnsi="Arial" w:cs="Arial"/>
                <w:b/>
                <w:sz w:val="20"/>
                <w:szCs w:val="20"/>
              </w:rPr>
              <w:t>Measure (Outcome</w:t>
            </w:r>
            <w:r>
              <w:rPr>
                <w:rFonts w:ascii="Arial" w:hAnsi="Arial" w:cs="Arial"/>
                <w:b/>
                <w:sz w:val="20"/>
                <w:szCs w:val="20"/>
              </w:rPr>
              <w:t xml:space="preserve"> #3</w:t>
            </w:r>
            <w:r w:rsidRPr="00210107">
              <w:rPr>
                <w:rFonts w:ascii="Arial" w:hAnsi="Arial" w:cs="Arial"/>
                <w:b/>
                <w:sz w:val="20"/>
                <w:szCs w:val="20"/>
              </w:rPr>
              <w:t>)</w:t>
            </w:r>
          </w:p>
          <w:p w14:paraId="57EDCDD0" w14:textId="77777777" w:rsidR="00B65E21" w:rsidRPr="00210107" w:rsidRDefault="00BA47CA" w:rsidP="007F3EF9">
            <w:pPr>
              <w:pStyle w:val="NoSpacing"/>
              <w:rPr>
                <w:rFonts w:ascii="Arial" w:hAnsi="Arial" w:cs="Arial"/>
                <w:sz w:val="20"/>
                <w:szCs w:val="20"/>
              </w:rPr>
            </w:pPr>
            <w:r w:rsidRPr="00055150">
              <w:rPr>
                <w:rFonts w:eastAsia="Franklin Gothic Book" w:cs="Franklin Gothic Book"/>
                <w:color w:val="002060"/>
              </w:rPr>
              <w:t>Cougar Compass data</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8FD8931" w14:textId="77777777" w:rsidR="00B65E21" w:rsidRPr="00210107" w:rsidRDefault="00B65E21" w:rsidP="00B65E21">
            <w:pPr>
              <w:pStyle w:val="NoSpacing"/>
              <w:numPr>
                <w:ilvl w:val="0"/>
                <w:numId w:val="3"/>
              </w:numPr>
              <w:rPr>
                <w:rFonts w:ascii="Arial" w:hAnsi="Arial" w:cs="Arial"/>
                <w:b/>
                <w:sz w:val="20"/>
                <w:szCs w:val="20"/>
              </w:rPr>
            </w:pPr>
            <w:r>
              <w:rPr>
                <w:rFonts w:ascii="Arial" w:hAnsi="Arial" w:cs="Arial"/>
                <w:b/>
                <w:sz w:val="20"/>
                <w:szCs w:val="20"/>
              </w:rPr>
              <w:t>Target  (Outcome #3</w:t>
            </w:r>
            <w:r w:rsidRPr="00210107">
              <w:rPr>
                <w:rFonts w:ascii="Arial" w:hAnsi="Arial" w:cs="Arial"/>
                <w:b/>
                <w:sz w:val="20"/>
                <w:szCs w:val="20"/>
              </w:rPr>
              <w:t>)</w:t>
            </w:r>
          </w:p>
          <w:p w14:paraId="4D794D1F" w14:textId="77777777" w:rsidR="00B65E21" w:rsidRDefault="00BA47CA" w:rsidP="007F3EF9">
            <w:pPr>
              <w:pStyle w:val="NoSpacing"/>
              <w:rPr>
                <w:color w:val="002060"/>
              </w:rPr>
            </w:pPr>
            <w:r w:rsidRPr="00055150">
              <w:rPr>
                <w:color w:val="002060"/>
              </w:rPr>
              <w:t>At the end of the 2019 calendar year the percentage of Cougar Compass degree audits will increase from 34% for the year to 50% for the year.</w:t>
            </w:r>
          </w:p>
          <w:p w14:paraId="34A36700" w14:textId="28F80234" w:rsidR="005805C7" w:rsidRPr="00210107" w:rsidRDefault="005805C7" w:rsidP="007F3EF9">
            <w:pPr>
              <w:pStyle w:val="NoSpacing"/>
              <w:rPr>
                <w:rFonts w:ascii="Arial" w:hAnsi="Arial" w:cs="Arial"/>
                <w:sz w:val="20"/>
                <w:szCs w:val="20"/>
              </w:rPr>
            </w:pPr>
          </w:p>
        </w:tc>
      </w:tr>
      <w:tr w:rsidR="00B65E21" w:rsidRPr="00210107" w14:paraId="3A5503AC" w14:textId="7777777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FD16ED" w14:textId="77777777" w:rsidR="00B65E21" w:rsidRPr="00210107" w:rsidRDefault="00B65E21" w:rsidP="00B65E21">
            <w:pPr>
              <w:pStyle w:val="NoSpacing"/>
              <w:numPr>
                <w:ilvl w:val="0"/>
                <w:numId w:val="3"/>
              </w:numPr>
              <w:rPr>
                <w:rFonts w:ascii="Arial" w:hAnsi="Arial" w:cs="Arial"/>
                <w:b/>
                <w:sz w:val="20"/>
                <w:szCs w:val="20"/>
              </w:rPr>
            </w:pPr>
            <w:r w:rsidRPr="00210107">
              <w:rPr>
                <w:rFonts w:ascii="Arial" w:hAnsi="Arial" w:cs="Arial"/>
                <w:b/>
                <w:sz w:val="20"/>
                <w:szCs w:val="20"/>
              </w:rPr>
              <w:t xml:space="preserve">Action Plan </w:t>
            </w:r>
            <w:r w:rsidR="00BA47CA">
              <w:rPr>
                <w:rFonts w:ascii="Arial" w:hAnsi="Arial" w:cs="Arial"/>
                <w:b/>
                <w:sz w:val="20"/>
                <w:szCs w:val="20"/>
              </w:rPr>
              <w:t>(Outcome #3</w:t>
            </w:r>
            <w:r w:rsidRPr="00210107">
              <w:rPr>
                <w:rFonts w:ascii="Arial" w:hAnsi="Arial" w:cs="Arial"/>
                <w:b/>
                <w:sz w:val="20"/>
                <w:szCs w:val="20"/>
              </w:rPr>
              <w:t>)</w:t>
            </w:r>
          </w:p>
          <w:p w14:paraId="336540F7" w14:textId="77777777" w:rsidR="00BA47CA" w:rsidRPr="00003BD5" w:rsidRDefault="00B65E21" w:rsidP="00BA47CA">
            <w:pPr>
              <w:pStyle w:val="NoSpacing"/>
              <w:rPr>
                <w:rFonts w:ascii="Arial" w:hAnsi="Arial" w:cs="Arial"/>
                <w:b/>
                <w:sz w:val="20"/>
                <w:szCs w:val="20"/>
              </w:rPr>
            </w:pPr>
            <w:r w:rsidRPr="00210107">
              <w:rPr>
                <w:rFonts w:ascii="Arial" w:hAnsi="Arial" w:cs="Arial"/>
                <w:b/>
                <w:sz w:val="20"/>
                <w:szCs w:val="20"/>
              </w:rPr>
              <w:t xml:space="preserve"> </w:t>
            </w:r>
            <w:r w:rsidR="00BA47CA" w:rsidRPr="00A93B46">
              <w:rPr>
                <w:rFonts w:cstheme="minorHAnsi"/>
                <w:color w:val="002060"/>
              </w:rPr>
              <w:t xml:space="preserve">As Academic Advisors continue to meet with students they will stress the purpose of Cougar Compass and how students can complete one.  In addition, </w:t>
            </w:r>
            <w:r w:rsidR="00786BD1">
              <w:rPr>
                <w:rFonts w:cstheme="minorHAnsi"/>
                <w:color w:val="002060"/>
              </w:rPr>
              <w:t>Collin</w:t>
            </w:r>
            <w:r w:rsidR="00BA47CA" w:rsidRPr="00A93B46">
              <w:rPr>
                <w:rFonts w:cstheme="minorHAnsi"/>
                <w:color w:val="002060"/>
              </w:rPr>
              <w:t xml:space="preserve"> College will continue to advertise Cougar Campus across the district.</w:t>
            </w:r>
          </w:p>
          <w:p w14:paraId="4E7A066B" w14:textId="77777777" w:rsidR="00B65E21" w:rsidRPr="00210107" w:rsidRDefault="00B65E21" w:rsidP="007F3EF9">
            <w:pPr>
              <w:pStyle w:val="NoSpacing"/>
              <w:rPr>
                <w:rFonts w:ascii="Arial" w:hAnsi="Arial" w:cs="Arial"/>
                <w:b/>
                <w:sz w:val="20"/>
                <w:szCs w:val="20"/>
              </w:rPr>
            </w:pPr>
          </w:p>
        </w:tc>
      </w:tr>
      <w:tr w:rsidR="00B65E21" w:rsidRPr="00210107" w14:paraId="547498E1" w14:textId="7777777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7ABE4A" w14:textId="77777777" w:rsidR="00B65E21" w:rsidRPr="00210107" w:rsidRDefault="00BA47CA" w:rsidP="00B65E21">
            <w:pPr>
              <w:pStyle w:val="NoSpacing"/>
              <w:numPr>
                <w:ilvl w:val="0"/>
                <w:numId w:val="3"/>
              </w:numPr>
              <w:rPr>
                <w:rFonts w:ascii="Arial" w:hAnsi="Arial" w:cs="Arial"/>
                <w:b/>
                <w:sz w:val="20"/>
                <w:szCs w:val="20"/>
              </w:rPr>
            </w:pPr>
            <w:r>
              <w:rPr>
                <w:rFonts w:ascii="Arial" w:hAnsi="Arial" w:cs="Arial"/>
                <w:b/>
                <w:sz w:val="20"/>
                <w:szCs w:val="20"/>
              </w:rPr>
              <w:t>Results Summary (Outcome #3</w:t>
            </w:r>
            <w:r w:rsidR="00B65E21" w:rsidRPr="00210107">
              <w:rPr>
                <w:rFonts w:ascii="Arial" w:hAnsi="Arial" w:cs="Arial"/>
                <w:b/>
                <w:sz w:val="20"/>
                <w:szCs w:val="20"/>
              </w:rPr>
              <w:t>)</w:t>
            </w:r>
          </w:p>
          <w:tbl>
            <w:tblPr>
              <w:tblStyle w:val="TableGrid"/>
              <w:tblW w:w="0" w:type="auto"/>
              <w:tblLayout w:type="fixed"/>
              <w:tblLook w:val="04A0" w:firstRow="1" w:lastRow="0" w:firstColumn="1" w:lastColumn="0" w:noHBand="0" w:noVBand="1"/>
            </w:tblPr>
            <w:tblGrid>
              <w:gridCol w:w="1420"/>
              <w:gridCol w:w="3957"/>
              <w:gridCol w:w="3957"/>
              <w:gridCol w:w="3958"/>
            </w:tblGrid>
            <w:tr w:rsidR="00BA47CA" w:rsidRPr="00A93B46" w14:paraId="0D9B6785" w14:textId="77777777" w:rsidTr="007F3EF9">
              <w:tc>
                <w:tcPr>
                  <w:tcW w:w="1420" w:type="dxa"/>
                </w:tcPr>
                <w:p w14:paraId="01E310CD" w14:textId="77777777" w:rsidR="00BA47CA" w:rsidRPr="00A93B46" w:rsidRDefault="00BA47CA" w:rsidP="00BA47CA">
                  <w:pPr>
                    <w:pStyle w:val="NoSpacing"/>
                    <w:jc w:val="center"/>
                    <w:rPr>
                      <w:rFonts w:cstheme="minorHAnsi"/>
                      <w:color w:val="002060"/>
                    </w:rPr>
                  </w:pPr>
                  <w:r w:rsidRPr="00A93B46">
                    <w:rPr>
                      <w:rFonts w:cstheme="minorHAnsi"/>
                      <w:color w:val="002060"/>
                    </w:rPr>
                    <w:t>Year</w:t>
                  </w:r>
                </w:p>
              </w:tc>
              <w:tc>
                <w:tcPr>
                  <w:tcW w:w="3957" w:type="dxa"/>
                </w:tcPr>
                <w:p w14:paraId="7F083BDF" w14:textId="77777777" w:rsidR="00BA47CA" w:rsidRPr="00A93B46" w:rsidRDefault="00BA47CA" w:rsidP="00BA47CA">
                  <w:pPr>
                    <w:pStyle w:val="NoSpacing"/>
                    <w:jc w:val="center"/>
                    <w:rPr>
                      <w:rFonts w:cstheme="minorHAnsi"/>
                      <w:color w:val="002060"/>
                    </w:rPr>
                  </w:pPr>
                  <w:r w:rsidRPr="00A93B46">
                    <w:rPr>
                      <w:rFonts w:cstheme="minorHAnsi"/>
                      <w:color w:val="002060"/>
                    </w:rPr>
                    <w:t>Total Degree Audits</w:t>
                  </w:r>
                  <w:r w:rsidR="00786BD1">
                    <w:rPr>
                      <w:rFonts w:cstheme="minorHAnsi"/>
                      <w:color w:val="002060"/>
                    </w:rPr>
                    <w:t xml:space="preserve"> Run</w:t>
                  </w:r>
                </w:p>
              </w:tc>
              <w:tc>
                <w:tcPr>
                  <w:tcW w:w="3957" w:type="dxa"/>
                </w:tcPr>
                <w:p w14:paraId="79EDCB14" w14:textId="77777777" w:rsidR="00BA47CA" w:rsidRPr="00A93B46" w:rsidRDefault="00BA47CA" w:rsidP="00BA47CA">
                  <w:pPr>
                    <w:pStyle w:val="NoSpacing"/>
                    <w:jc w:val="center"/>
                    <w:rPr>
                      <w:rFonts w:cstheme="minorHAnsi"/>
                      <w:color w:val="002060"/>
                    </w:rPr>
                  </w:pPr>
                  <w:r w:rsidRPr="00A93B46">
                    <w:rPr>
                      <w:rFonts w:cstheme="minorHAnsi"/>
                      <w:color w:val="002060"/>
                    </w:rPr>
                    <w:t xml:space="preserve">Student </w:t>
                  </w:r>
                  <w:r w:rsidR="00786BD1">
                    <w:rPr>
                      <w:rFonts w:cstheme="minorHAnsi"/>
                      <w:color w:val="002060"/>
                    </w:rPr>
                    <w:t xml:space="preserve">Run </w:t>
                  </w:r>
                  <w:r w:rsidRPr="00A93B46">
                    <w:rPr>
                      <w:rFonts w:cstheme="minorHAnsi"/>
                      <w:color w:val="002060"/>
                    </w:rPr>
                    <w:t>Degree Audits</w:t>
                  </w:r>
                </w:p>
              </w:tc>
              <w:tc>
                <w:tcPr>
                  <w:tcW w:w="3958" w:type="dxa"/>
                </w:tcPr>
                <w:p w14:paraId="3294B2C8" w14:textId="77777777" w:rsidR="00BA47CA" w:rsidRPr="00A93B46" w:rsidRDefault="00BA47CA" w:rsidP="00BA47CA">
                  <w:pPr>
                    <w:pStyle w:val="NoSpacing"/>
                    <w:jc w:val="center"/>
                    <w:rPr>
                      <w:rFonts w:cstheme="minorHAnsi"/>
                      <w:color w:val="002060"/>
                    </w:rPr>
                  </w:pPr>
                  <w:r w:rsidRPr="00A93B46">
                    <w:rPr>
                      <w:rFonts w:cstheme="minorHAnsi"/>
                      <w:color w:val="002060"/>
                    </w:rPr>
                    <w:t>Percentage of total that are student</w:t>
                  </w:r>
                </w:p>
              </w:tc>
            </w:tr>
            <w:tr w:rsidR="00BA47CA" w:rsidRPr="00A93B46" w14:paraId="53344CC6" w14:textId="77777777" w:rsidTr="007F3EF9">
              <w:tc>
                <w:tcPr>
                  <w:tcW w:w="1420" w:type="dxa"/>
                </w:tcPr>
                <w:p w14:paraId="1DDF0A06" w14:textId="77777777" w:rsidR="00BA47CA" w:rsidRPr="00A93B46" w:rsidRDefault="00BA47CA" w:rsidP="00BA47CA">
                  <w:pPr>
                    <w:pStyle w:val="NoSpacing"/>
                    <w:jc w:val="center"/>
                    <w:rPr>
                      <w:rFonts w:cstheme="minorHAnsi"/>
                      <w:color w:val="002060"/>
                    </w:rPr>
                  </w:pPr>
                  <w:r w:rsidRPr="00A93B46">
                    <w:rPr>
                      <w:rFonts w:cstheme="minorHAnsi"/>
                      <w:color w:val="002060"/>
                    </w:rPr>
                    <w:t>2018</w:t>
                  </w:r>
                </w:p>
              </w:tc>
              <w:tc>
                <w:tcPr>
                  <w:tcW w:w="3957" w:type="dxa"/>
                </w:tcPr>
                <w:p w14:paraId="10903E35" w14:textId="77777777" w:rsidR="00BA47CA" w:rsidRPr="00A93B46" w:rsidRDefault="00BA47CA" w:rsidP="00BA47CA">
                  <w:pPr>
                    <w:pStyle w:val="NoSpacing"/>
                    <w:jc w:val="center"/>
                    <w:rPr>
                      <w:rFonts w:cstheme="minorHAnsi"/>
                      <w:color w:val="002060"/>
                    </w:rPr>
                  </w:pPr>
                  <w:r w:rsidRPr="00A93B46">
                    <w:rPr>
                      <w:rFonts w:cstheme="minorHAnsi"/>
                      <w:color w:val="002060"/>
                    </w:rPr>
                    <w:t>95,288</w:t>
                  </w:r>
                </w:p>
              </w:tc>
              <w:tc>
                <w:tcPr>
                  <w:tcW w:w="3957" w:type="dxa"/>
                </w:tcPr>
                <w:p w14:paraId="08AF294F" w14:textId="77777777" w:rsidR="00BA47CA" w:rsidRPr="00A93B46" w:rsidRDefault="00BA47CA" w:rsidP="00BA47CA">
                  <w:pPr>
                    <w:pStyle w:val="NoSpacing"/>
                    <w:jc w:val="center"/>
                    <w:rPr>
                      <w:rFonts w:cstheme="minorHAnsi"/>
                      <w:color w:val="002060"/>
                    </w:rPr>
                  </w:pPr>
                  <w:r w:rsidRPr="00A93B46">
                    <w:rPr>
                      <w:rFonts w:cstheme="minorHAnsi"/>
                      <w:color w:val="002060"/>
                    </w:rPr>
                    <w:t>30,583</w:t>
                  </w:r>
                </w:p>
              </w:tc>
              <w:tc>
                <w:tcPr>
                  <w:tcW w:w="3958" w:type="dxa"/>
                </w:tcPr>
                <w:p w14:paraId="42D07C10" w14:textId="77777777" w:rsidR="00BA47CA" w:rsidRPr="00A93B46" w:rsidRDefault="00BA47CA" w:rsidP="00BA47CA">
                  <w:pPr>
                    <w:pStyle w:val="NoSpacing"/>
                    <w:jc w:val="center"/>
                    <w:rPr>
                      <w:rFonts w:cstheme="minorHAnsi"/>
                      <w:color w:val="002060"/>
                    </w:rPr>
                  </w:pPr>
                  <w:r w:rsidRPr="00A93B46">
                    <w:rPr>
                      <w:rFonts w:cstheme="minorHAnsi"/>
                      <w:color w:val="002060"/>
                    </w:rPr>
                    <w:t>32%</w:t>
                  </w:r>
                </w:p>
              </w:tc>
            </w:tr>
            <w:tr w:rsidR="00BA47CA" w:rsidRPr="00A93B46" w14:paraId="5CD76E13" w14:textId="77777777" w:rsidTr="007F3EF9">
              <w:tc>
                <w:tcPr>
                  <w:tcW w:w="1420" w:type="dxa"/>
                </w:tcPr>
                <w:p w14:paraId="18723567" w14:textId="77777777" w:rsidR="00BA47CA" w:rsidRPr="00A93B46" w:rsidRDefault="00BA47CA" w:rsidP="00BA47CA">
                  <w:pPr>
                    <w:pStyle w:val="NoSpacing"/>
                    <w:jc w:val="center"/>
                    <w:rPr>
                      <w:rFonts w:cstheme="minorHAnsi"/>
                      <w:color w:val="002060"/>
                    </w:rPr>
                  </w:pPr>
                  <w:r w:rsidRPr="00A93B46">
                    <w:rPr>
                      <w:rFonts w:cstheme="minorHAnsi"/>
                      <w:color w:val="002060"/>
                    </w:rPr>
                    <w:t>2019</w:t>
                  </w:r>
                </w:p>
              </w:tc>
              <w:tc>
                <w:tcPr>
                  <w:tcW w:w="3957" w:type="dxa"/>
                </w:tcPr>
                <w:p w14:paraId="7077725A" w14:textId="77777777" w:rsidR="00BA47CA" w:rsidRPr="00A93B46" w:rsidRDefault="00BA47CA" w:rsidP="00BA47CA">
                  <w:pPr>
                    <w:pStyle w:val="NoSpacing"/>
                    <w:jc w:val="center"/>
                    <w:rPr>
                      <w:rFonts w:cstheme="minorHAnsi"/>
                      <w:color w:val="002060"/>
                    </w:rPr>
                  </w:pPr>
                  <w:r w:rsidRPr="00A93B46">
                    <w:rPr>
                      <w:rFonts w:cstheme="minorHAnsi"/>
                      <w:color w:val="002060"/>
                    </w:rPr>
                    <w:t>162,181</w:t>
                  </w:r>
                </w:p>
              </w:tc>
              <w:tc>
                <w:tcPr>
                  <w:tcW w:w="3957" w:type="dxa"/>
                </w:tcPr>
                <w:p w14:paraId="316AE0E8" w14:textId="77777777" w:rsidR="00BA47CA" w:rsidRPr="00A93B46" w:rsidRDefault="00BA47CA" w:rsidP="00BA47CA">
                  <w:pPr>
                    <w:pStyle w:val="NoSpacing"/>
                    <w:jc w:val="center"/>
                    <w:rPr>
                      <w:rFonts w:cstheme="minorHAnsi"/>
                      <w:color w:val="002060"/>
                    </w:rPr>
                  </w:pPr>
                  <w:r w:rsidRPr="00A93B46">
                    <w:rPr>
                      <w:rFonts w:cstheme="minorHAnsi"/>
                      <w:color w:val="002060"/>
                    </w:rPr>
                    <w:t>74,413</w:t>
                  </w:r>
                </w:p>
              </w:tc>
              <w:tc>
                <w:tcPr>
                  <w:tcW w:w="3958" w:type="dxa"/>
                </w:tcPr>
                <w:p w14:paraId="6C42E1A5" w14:textId="77777777" w:rsidR="00BA47CA" w:rsidRPr="00A93B46" w:rsidRDefault="00BA47CA" w:rsidP="00BA47CA">
                  <w:pPr>
                    <w:pStyle w:val="NoSpacing"/>
                    <w:jc w:val="center"/>
                    <w:rPr>
                      <w:rFonts w:cstheme="minorHAnsi"/>
                      <w:color w:val="002060"/>
                    </w:rPr>
                  </w:pPr>
                  <w:r w:rsidRPr="00A93B46">
                    <w:rPr>
                      <w:rFonts w:cstheme="minorHAnsi"/>
                      <w:color w:val="002060"/>
                    </w:rPr>
                    <w:t>46%</w:t>
                  </w:r>
                </w:p>
              </w:tc>
            </w:tr>
            <w:tr w:rsidR="00BA47CA" w:rsidRPr="00A93B46" w14:paraId="41667D51" w14:textId="77777777" w:rsidTr="007F3EF9">
              <w:tc>
                <w:tcPr>
                  <w:tcW w:w="1420" w:type="dxa"/>
                </w:tcPr>
                <w:p w14:paraId="4FA6C7E9" w14:textId="77777777" w:rsidR="00BA47CA" w:rsidRPr="00A93B46" w:rsidRDefault="00BA47CA" w:rsidP="00BA47CA">
                  <w:pPr>
                    <w:pStyle w:val="NoSpacing"/>
                    <w:jc w:val="center"/>
                    <w:rPr>
                      <w:rFonts w:cstheme="minorHAnsi"/>
                      <w:color w:val="002060"/>
                    </w:rPr>
                  </w:pPr>
                  <w:r w:rsidRPr="00A93B46">
                    <w:rPr>
                      <w:rFonts w:cstheme="minorHAnsi"/>
                      <w:color w:val="002060"/>
                    </w:rPr>
                    <w:t>2020</w:t>
                  </w:r>
                </w:p>
              </w:tc>
              <w:tc>
                <w:tcPr>
                  <w:tcW w:w="3957" w:type="dxa"/>
                </w:tcPr>
                <w:p w14:paraId="4C501CE5" w14:textId="77777777" w:rsidR="00BA47CA" w:rsidRPr="00A93B46" w:rsidRDefault="00BA47CA" w:rsidP="00BA47CA">
                  <w:pPr>
                    <w:pStyle w:val="NoSpacing"/>
                    <w:jc w:val="center"/>
                    <w:rPr>
                      <w:rFonts w:cstheme="minorHAnsi"/>
                      <w:color w:val="002060"/>
                    </w:rPr>
                  </w:pPr>
                  <w:r w:rsidRPr="00A93B46">
                    <w:rPr>
                      <w:rFonts w:cstheme="minorHAnsi"/>
                      <w:color w:val="002060"/>
                    </w:rPr>
                    <w:t>178,188</w:t>
                  </w:r>
                </w:p>
              </w:tc>
              <w:tc>
                <w:tcPr>
                  <w:tcW w:w="3957" w:type="dxa"/>
                </w:tcPr>
                <w:p w14:paraId="38716292" w14:textId="77777777" w:rsidR="00BA47CA" w:rsidRPr="00A93B46" w:rsidRDefault="00BA47CA" w:rsidP="00BA47CA">
                  <w:pPr>
                    <w:pStyle w:val="NoSpacing"/>
                    <w:jc w:val="center"/>
                    <w:rPr>
                      <w:rFonts w:cstheme="minorHAnsi"/>
                      <w:color w:val="002060"/>
                    </w:rPr>
                  </w:pPr>
                  <w:r w:rsidRPr="00A93B46">
                    <w:rPr>
                      <w:rFonts w:cstheme="minorHAnsi"/>
                      <w:color w:val="002060"/>
                    </w:rPr>
                    <w:t>95,564</w:t>
                  </w:r>
                </w:p>
              </w:tc>
              <w:tc>
                <w:tcPr>
                  <w:tcW w:w="3958" w:type="dxa"/>
                </w:tcPr>
                <w:p w14:paraId="70DF4BA9" w14:textId="77777777" w:rsidR="00BA47CA" w:rsidRPr="00A93B46" w:rsidRDefault="00BA47CA" w:rsidP="00BA47CA">
                  <w:pPr>
                    <w:pStyle w:val="NoSpacing"/>
                    <w:jc w:val="center"/>
                    <w:rPr>
                      <w:rFonts w:cstheme="minorHAnsi"/>
                      <w:color w:val="002060"/>
                    </w:rPr>
                  </w:pPr>
                  <w:r w:rsidRPr="00A93B46">
                    <w:rPr>
                      <w:rFonts w:cstheme="minorHAnsi"/>
                      <w:color w:val="002060"/>
                    </w:rPr>
                    <w:t>54%</w:t>
                  </w:r>
                </w:p>
              </w:tc>
            </w:tr>
            <w:tr w:rsidR="009E0514" w:rsidRPr="00A93B46" w14:paraId="6F298675" w14:textId="77777777" w:rsidTr="007F3EF9">
              <w:tc>
                <w:tcPr>
                  <w:tcW w:w="1420" w:type="dxa"/>
                </w:tcPr>
                <w:p w14:paraId="13E26E0F" w14:textId="77777777" w:rsidR="009E0514" w:rsidRPr="00A93B46" w:rsidRDefault="009E0514" w:rsidP="00BA47CA">
                  <w:pPr>
                    <w:pStyle w:val="NoSpacing"/>
                    <w:jc w:val="center"/>
                    <w:rPr>
                      <w:rFonts w:cstheme="minorHAnsi"/>
                      <w:color w:val="002060"/>
                    </w:rPr>
                  </w:pPr>
                  <w:r>
                    <w:rPr>
                      <w:rFonts w:cstheme="minorHAnsi"/>
                      <w:color w:val="002060"/>
                    </w:rPr>
                    <w:t>2021</w:t>
                  </w:r>
                </w:p>
              </w:tc>
              <w:tc>
                <w:tcPr>
                  <w:tcW w:w="3957" w:type="dxa"/>
                </w:tcPr>
                <w:p w14:paraId="70A502EC" w14:textId="3CE96170" w:rsidR="009E0514" w:rsidRPr="00A93B46" w:rsidRDefault="005805C7" w:rsidP="00BA47CA">
                  <w:pPr>
                    <w:pStyle w:val="NoSpacing"/>
                    <w:jc w:val="center"/>
                    <w:rPr>
                      <w:rFonts w:cstheme="minorHAnsi"/>
                      <w:color w:val="002060"/>
                    </w:rPr>
                  </w:pPr>
                  <w:r>
                    <w:rPr>
                      <w:rFonts w:cstheme="minorHAnsi"/>
                      <w:color w:val="002060"/>
                    </w:rPr>
                    <w:t>-</w:t>
                  </w:r>
                </w:p>
              </w:tc>
              <w:tc>
                <w:tcPr>
                  <w:tcW w:w="3957" w:type="dxa"/>
                </w:tcPr>
                <w:p w14:paraId="056E10E6" w14:textId="73C08CE0" w:rsidR="009E0514" w:rsidRPr="00A93B46" w:rsidRDefault="005805C7" w:rsidP="00BA47CA">
                  <w:pPr>
                    <w:pStyle w:val="NoSpacing"/>
                    <w:jc w:val="center"/>
                    <w:rPr>
                      <w:rFonts w:cstheme="minorHAnsi"/>
                      <w:color w:val="002060"/>
                    </w:rPr>
                  </w:pPr>
                  <w:r>
                    <w:rPr>
                      <w:rFonts w:cstheme="minorHAnsi"/>
                      <w:color w:val="002060"/>
                    </w:rPr>
                    <w:t>74,585</w:t>
                  </w:r>
                </w:p>
              </w:tc>
              <w:tc>
                <w:tcPr>
                  <w:tcW w:w="3958" w:type="dxa"/>
                </w:tcPr>
                <w:p w14:paraId="6A8AF017" w14:textId="604BED76" w:rsidR="009E0514" w:rsidRPr="00A93B46" w:rsidRDefault="005805C7" w:rsidP="00BA47CA">
                  <w:pPr>
                    <w:pStyle w:val="NoSpacing"/>
                    <w:jc w:val="center"/>
                    <w:rPr>
                      <w:rFonts w:cstheme="minorHAnsi"/>
                      <w:color w:val="002060"/>
                    </w:rPr>
                  </w:pPr>
                  <w:r>
                    <w:rPr>
                      <w:rFonts w:cstheme="minorHAnsi"/>
                      <w:color w:val="002060"/>
                    </w:rPr>
                    <w:t>-</w:t>
                  </w:r>
                </w:p>
              </w:tc>
            </w:tr>
          </w:tbl>
          <w:p w14:paraId="7E7E75A8" w14:textId="77777777" w:rsidR="00B65E21" w:rsidRPr="00210107" w:rsidRDefault="00B65E21" w:rsidP="007F3EF9">
            <w:pPr>
              <w:pStyle w:val="NoSpacing"/>
              <w:rPr>
                <w:rFonts w:ascii="Arial" w:hAnsi="Arial" w:cs="Arial"/>
                <w:sz w:val="20"/>
                <w:szCs w:val="20"/>
              </w:rPr>
            </w:pPr>
          </w:p>
        </w:tc>
      </w:tr>
      <w:tr w:rsidR="00B65E21" w:rsidRPr="00210107" w14:paraId="18A765E6" w14:textId="7777777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19CA7B" w14:textId="77777777" w:rsidR="00B65E21" w:rsidRDefault="00BA47CA" w:rsidP="00B65E21">
            <w:pPr>
              <w:pStyle w:val="NoSpacing"/>
              <w:numPr>
                <w:ilvl w:val="0"/>
                <w:numId w:val="3"/>
              </w:numPr>
              <w:rPr>
                <w:rFonts w:ascii="Arial" w:hAnsi="Arial" w:cs="Arial"/>
                <w:b/>
                <w:sz w:val="20"/>
                <w:szCs w:val="20"/>
              </w:rPr>
            </w:pPr>
            <w:r>
              <w:rPr>
                <w:rFonts w:ascii="Arial" w:hAnsi="Arial" w:cs="Arial"/>
                <w:b/>
                <w:sz w:val="20"/>
                <w:szCs w:val="20"/>
              </w:rPr>
              <w:lastRenderedPageBreak/>
              <w:t>Findings (Outcome #3</w:t>
            </w:r>
            <w:r w:rsidR="00B65E21" w:rsidRPr="00210107">
              <w:rPr>
                <w:rFonts w:ascii="Arial" w:hAnsi="Arial" w:cs="Arial"/>
                <w:b/>
                <w:sz w:val="20"/>
                <w:szCs w:val="20"/>
              </w:rPr>
              <w:t>)</w:t>
            </w:r>
          </w:p>
          <w:p w14:paraId="307982E3" w14:textId="77777777" w:rsidR="0047771E" w:rsidRPr="00210107" w:rsidRDefault="0047771E" w:rsidP="0047771E">
            <w:pPr>
              <w:pStyle w:val="NoSpacing"/>
              <w:ind w:left="720"/>
              <w:rPr>
                <w:rFonts w:ascii="Arial" w:hAnsi="Arial" w:cs="Arial"/>
                <w:b/>
                <w:sz w:val="20"/>
                <w:szCs w:val="20"/>
              </w:rPr>
            </w:pPr>
          </w:p>
          <w:p w14:paraId="30B98DED" w14:textId="77777777" w:rsidR="009E0514" w:rsidRPr="009E0514" w:rsidRDefault="009E0514" w:rsidP="009E0514">
            <w:pPr>
              <w:pStyle w:val="NoSpacing"/>
              <w:rPr>
                <w:rFonts w:cstheme="minorHAnsi"/>
                <w:color w:val="002060"/>
                <w:u w:val="single"/>
              </w:rPr>
            </w:pPr>
            <w:r w:rsidRPr="009E0514">
              <w:rPr>
                <w:rFonts w:cstheme="minorHAnsi"/>
                <w:color w:val="002060"/>
                <w:u w:val="single"/>
              </w:rPr>
              <w:t>Update: February 2023</w:t>
            </w:r>
          </w:p>
          <w:p w14:paraId="598684F4" w14:textId="18BFD436" w:rsidR="005805C7" w:rsidRPr="00210107" w:rsidRDefault="005805C7" w:rsidP="005805C7">
            <w:pPr>
              <w:rPr>
                <w:rFonts w:ascii="Arial" w:hAnsi="Arial" w:cs="Arial"/>
                <w:sz w:val="20"/>
                <w:szCs w:val="20"/>
              </w:rPr>
            </w:pPr>
            <w:r>
              <w:rPr>
                <w:rFonts w:ascii="Arial" w:hAnsi="Arial" w:cs="Arial"/>
                <w:sz w:val="20"/>
                <w:szCs w:val="20"/>
              </w:rPr>
              <w:t>The original intent of this goal was to ensure students were using the new degree audit software. Over the years, upgrades have been made and new staff positions have been added to work with student cohorts that pull audits for students. Over time, the need for students to have a high usage</w:t>
            </w:r>
            <w:r>
              <w:rPr>
                <w:rFonts w:ascii="Arial" w:hAnsi="Arial" w:cs="Arial"/>
                <w:sz w:val="20"/>
                <w:szCs w:val="20"/>
              </w:rPr>
              <w:t>/percentage became outdated. Upgrades to the degree audit software made tracking usage cumbersome and the increased volume of usage by students and staff require more frequent purging of the data.</w:t>
            </w:r>
          </w:p>
        </w:tc>
      </w:tr>
      <w:tr w:rsidR="00B65E21" w:rsidRPr="00210107" w14:paraId="0BD6A0C4" w14:textId="7777777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FCF98D" w14:textId="7CA18D99" w:rsidR="00B65E21" w:rsidRDefault="00B65E21" w:rsidP="00B65E21">
            <w:pPr>
              <w:pStyle w:val="NoSpacing"/>
              <w:numPr>
                <w:ilvl w:val="0"/>
                <w:numId w:val="3"/>
              </w:numPr>
              <w:rPr>
                <w:rFonts w:ascii="Arial" w:hAnsi="Arial" w:cs="Arial"/>
                <w:b/>
                <w:sz w:val="20"/>
                <w:szCs w:val="20"/>
              </w:rPr>
            </w:pPr>
            <w:r w:rsidRPr="00210107">
              <w:rPr>
                <w:rFonts w:ascii="Arial" w:hAnsi="Arial" w:cs="Arial"/>
                <w:b/>
                <w:sz w:val="20"/>
                <w:szCs w:val="20"/>
              </w:rPr>
              <w:t>Implementation of Findings</w:t>
            </w:r>
            <w:r w:rsidR="00BA47CA">
              <w:rPr>
                <w:rFonts w:ascii="Arial" w:hAnsi="Arial" w:cs="Arial"/>
                <w:b/>
                <w:sz w:val="20"/>
                <w:szCs w:val="20"/>
              </w:rPr>
              <w:br/>
            </w:r>
          </w:p>
          <w:p w14:paraId="5CC22EA6" w14:textId="4FEB1A0E" w:rsidR="005805C7" w:rsidRDefault="005805C7" w:rsidP="005805C7">
            <w:pPr>
              <w:pStyle w:val="NoSpacing"/>
              <w:rPr>
                <w:rFonts w:ascii="Arial" w:hAnsi="Arial" w:cs="Arial"/>
                <w:b/>
                <w:sz w:val="20"/>
                <w:szCs w:val="20"/>
              </w:rPr>
            </w:pPr>
            <w:r>
              <w:rPr>
                <w:rFonts w:ascii="Arial" w:hAnsi="Arial" w:cs="Arial"/>
                <w:sz w:val="20"/>
                <w:szCs w:val="20"/>
              </w:rPr>
              <w:t>The overall intent of the goal was met.</w:t>
            </w:r>
            <w:r>
              <w:rPr>
                <w:rFonts w:ascii="Arial" w:hAnsi="Arial" w:cs="Arial"/>
                <w:sz w:val="20"/>
                <w:szCs w:val="20"/>
              </w:rPr>
              <w:t xml:space="preserve"> This </w:t>
            </w:r>
            <w:r w:rsidR="00E654A5">
              <w:rPr>
                <w:rFonts w:ascii="Arial" w:hAnsi="Arial" w:cs="Arial"/>
                <w:sz w:val="20"/>
                <w:szCs w:val="20"/>
              </w:rPr>
              <w:t>outcome</w:t>
            </w:r>
            <w:r>
              <w:rPr>
                <w:rFonts w:ascii="Arial" w:hAnsi="Arial" w:cs="Arial"/>
                <w:sz w:val="20"/>
                <w:szCs w:val="20"/>
              </w:rPr>
              <w:t xml:space="preserve"> will not be revisited for the next Program Review.</w:t>
            </w:r>
          </w:p>
          <w:p w14:paraId="3D0F37A6" w14:textId="77777777" w:rsidR="009E0514" w:rsidRPr="00210107" w:rsidRDefault="009E0514" w:rsidP="005805C7">
            <w:pPr>
              <w:pStyle w:val="NoSpacing"/>
              <w:rPr>
                <w:rFonts w:ascii="Arial" w:hAnsi="Arial" w:cs="Arial"/>
                <w:b/>
                <w:sz w:val="20"/>
                <w:szCs w:val="20"/>
              </w:rPr>
            </w:pPr>
          </w:p>
        </w:tc>
      </w:tr>
    </w:tbl>
    <w:p w14:paraId="43E2414A" w14:textId="77777777" w:rsidR="007F4753" w:rsidRDefault="007F4753" w:rsidP="007F4753">
      <w:pPr>
        <w:tabs>
          <w:tab w:val="left" w:pos="690"/>
          <w:tab w:val="left" w:pos="4575"/>
        </w:tabs>
      </w:pPr>
    </w:p>
    <w:sectPr w:rsidR="007F4753" w:rsidSect="00F25D44">
      <w:headerReference w:type="default" r:id="rId11"/>
      <w:footerReference w:type="defaul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2ECF" w14:textId="77777777" w:rsidR="00DD48F3" w:rsidRDefault="00DD48F3" w:rsidP="0002489A">
      <w:pPr>
        <w:spacing w:after="0" w:line="240" w:lineRule="auto"/>
      </w:pPr>
      <w:r>
        <w:separator/>
      </w:r>
    </w:p>
  </w:endnote>
  <w:endnote w:type="continuationSeparator" w:id="0">
    <w:p w14:paraId="02E0D904" w14:textId="77777777"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6A222B23"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005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05F">
              <w:rPr>
                <w:b/>
                <w:bCs/>
                <w:noProof/>
              </w:rPr>
              <w:t>5</w:t>
            </w:r>
            <w:r>
              <w:rPr>
                <w:b/>
                <w:bCs/>
                <w:sz w:val="24"/>
                <w:szCs w:val="24"/>
              </w:rPr>
              <w:fldChar w:fldCharType="end"/>
            </w:r>
          </w:p>
        </w:sdtContent>
      </w:sdt>
    </w:sdtContent>
  </w:sdt>
  <w:p w14:paraId="3BDDC5DE"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3E202" w14:textId="77777777" w:rsidR="00DD48F3" w:rsidRDefault="00DD48F3" w:rsidP="0002489A">
      <w:pPr>
        <w:spacing w:after="0" w:line="240" w:lineRule="auto"/>
      </w:pPr>
      <w:r>
        <w:separator/>
      </w:r>
    </w:p>
  </w:footnote>
  <w:footnote w:type="continuationSeparator" w:id="0">
    <w:p w14:paraId="0F5F5029" w14:textId="77777777"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BEA0"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F6C24"/>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615C7"/>
    <w:rsid w:val="00073053"/>
    <w:rsid w:val="000E2EAF"/>
    <w:rsid w:val="000F18FC"/>
    <w:rsid w:val="00107E2F"/>
    <w:rsid w:val="00110AAC"/>
    <w:rsid w:val="0012513A"/>
    <w:rsid w:val="00173023"/>
    <w:rsid w:val="00196BE6"/>
    <w:rsid w:val="001D4BB0"/>
    <w:rsid w:val="001E0783"/>
    <w:rsid w:val="002004FE"/>
    <w:rsid w:val="00210107"/>
    <w:rsid w:val="002657C1"/>
    <w:rsid w:val="00274D44"/>
    <w:rsid w:val="003578A2"/>
    <w:rsid w:val="00366166"/>
    <w:rsid w:val="003B3B1B"/>
    <w:rsid w:val="00421B93"/>
    <w:rsid w:val="00432A87"/>
    <w:rsid w:val="00452D73"/>
    <w:rsid w:val="0047771E"/>
    <w:rsid w:val="00485943"/>
    <w:rsid w:val="004C586B"/>
    <w:rsid w:val="004C7267"/>
    <w:rsid w:val="004F2961"/>
    <w:rsid w:val="004F571A"/>
    <w:rsid w:val="00517E19"/>
    <w:rsid w:val="005805C7"/>
    <w:rsid w:val="005A203A"/>
    <w:rsid w:val="005C60D2"/>
    <w:rsid w:val="005D66CF"/>
    <w:rsid w:val="005E7CC6"/>
    <w:rsid w:val="00635666"/>
    <w:rsid w:val="0067033E"/>
    <w:rsid w:val="00671453"/>
    <w:rsid w:val="00710C42"/>
    <w:rsid w:val="00746F2D"/>
    <w:rsid w:val="0076005F"/>
    <w:rsid w:val="00761D43"/>
    <w:rsid w:val="00765707"/>
    <w:rsid w:val="00786BD1"/>
    <w:rsid w:val="007B5A78"/>
    <w:rsid w:val="007C3F60"/>
    <w:rsid w:val="007D11B3"/>
    <w:rsid w:val="007D1DD5"/>
    <w:rsid w:val="007F4753"/>
    <w:rsid w:val="008410E5"/>
    <w:rsid w:val="00847DBF"/>
    <w:rsid w:val="008A27FB"/>
    <w:rsid w:val="008E2C52"/>
    <w:rsid w:val="009230D0"/>
    <w:rsid w:val="009617FF"/>
    <w:rsid w:val="00973BDA"/>
    <w:rsid w:val="0098162F"/>
    <w:rsid w:val="00993C83"/>
    <w:rsid w:val="009E0514"/>
    <w:rsid w:val="009E3359"/>
    <w:rsid w:val="009F6BE7"/>
    <w:rsid w:val="009F702B"/>
    <w:rsid w:val="00A22225"/>
    <w:rsid w:val="00A22D6B"/>
    <w:rsid w:val="00A53228"/>
    <w:rsid w:val="00A81275"/>
    <w:rsid w:val="00AD3980"/>
    <w:rsid w:val="00AF243B"/>
    <w:rsid w:val="00AF4DD1"/>
    <w:rsid w:val="00B51A1C"/>
    <w:rsid w:val="00B57654"/>
    <w:rsid w:val="00B65CE1"/>
    <w:rsid w:val="00B65E21"/>
    <w:rsid w:val="00BA07FB"/>
    <w:rsid w:val="00BA47CA"/>
    <w:rsid w:val="00BE045D"/>
    <w:rsid w:val="00BE7B86"/>
    <w:rsid w:val="00C10B61"/>
    <w:rsid w:val="00C76636"/>
    <w:rsid w:val="00C82F0A"/>
    <w:rsid w:val="00CE5D90"/>
    <w:rsid w:val="00D21AC7"/>
    <w:rsid w:val="00D2274C"/>
    <w:rsid w:val="00D43D64"/>
    <w:rsid w:val="00D87631"/>
    <w:rsid w:val="00D9619E"/>
    <w:rsid w:val="00DD48F3"/>
    <w:rsid w:val="00DE2179"/>
    <w:rsid w:val="00E654A5"/>
    <w:rsid w:val="00E87527"/>
    <w:rsid w:val="00EA1C0D"/>
    <w:rsid w:val="00EB00C4"/>
    <w:rsid w:val="00F25D44"/>
    <w:rsid w:val="00F547BD"/>
    <w:rsid w:val="00F7391A"/>
    <w:rsid w:val="00F90438"/>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FB1B"/>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B65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0cd97e6-1ae3-4ee7-ac6d-2ffbdf68a8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56B5C85A45D4D8C09EC21E3F3D58C" ma:contentTypeVersion="17" ma:contentTypeDescription="Create a new document." ma:contentTypeScope="" ma:versionID="6a0bf3772030642373710f2b49f9fb94">
  <xsd:schema xmlns:xsd="http://www.w3.org/2001/XMLSchema" xmlns:xs="http://www.w3.org/2001/XMLSchema" xmlns:p="http://schemas.microsoft.com/office/2006/metadata/properties" xmlns:ns1="http://schemas.microsoft.com/sharepoint/v3" xmlns:ns3="d0cd97e6-1ae3-4ee7-ac6d-2ffbdf68a811" xmlns:ns4="a8d9f7ea-5423-4289-a196-24f5aee65ae6" targetNamespace="http://schemas.microsoft.com/office/2006/metadata/properties" ma:root="true" ma:fieldsID="dde823165829c0d599d8d6b180c9d799" ns1:_="" ns3:_="" ns4:_="">
    <xsd:import namespace="http://schemas.microsoft.com/sharepoint/v3"/>
    <xsd:import namespace="d0cd97e6-1ae3-4ee7-ac6d-2ffbdf68a811"/>
    <xsd:import namespace="a8d9f7ea-5423-4289-a196-24f5aee65a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d97e6-1ae3-4ee7-ac6d-2ffbdf68a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d9f7ea-5423-4289-a196-24f5aee65a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5BBD-94A4-4811-8432-A4F2D0D404EC}">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d0cd97e6-1ae3-4ee7-ac6d-2ffbdf68a811"/>
    <ds:schemaRef ds:uri="http://schemas.microsoft.com/sharepoint/v3"/>
    <ds:schemaRef ds:uri="http://purl.org/dc/terms/"/>
    <ds:schemaRef ds:uri="http://www.w3.org/XML/1998/namespace"/>
    <ds:schemaRef ds:uri="http://schemas.microsoft.com/office/infopath/2007/PartnerControls"/>
    <ds:schemaRef ds:uri="a8d9f7ea-5423-4289-a196-24f5aee65ae6"/>
  </ds:schemaRefs>
</ds:datastoreItem>
</file>

<file path=customXml/itemProps2.xml><?xml version="1.0" encoding="utf-8"?>
<ds:datastoreItem xmlns:ds="http://schemas.openxmlformats.org/officeDocument/2006/customXml" ds:itemID="{8BA9844E-C92B-444B-A6C0-0706BC781934}">
  <ds:schemaRefs>
    <ds:schemaRef ds:uri="http://schemas.microsoft.com/sharepoint/v3/contenttype/forms"/>
  </ds:schemaRefs>
</ds:datastoreItem>
</file>

<file path=customXml/itemProps3.xml><?xml version="1.0" encoding="utf-8"?>
<ds:datastoreItem xmlns:ds="http://schemas.openxmlformats.org/officeDocument/2006/customXml" ds:itemID="{83C23375-3A4D-4334-9942-3E0CEF4DA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cd97e6-1ae3-4ee7-ac6d-2ffbdf68a811"/>
    <ds:schemaRef ds:uri="a8d9f7ea-5423-4289-a196-24f5aee6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F7F86-4359-4171-834C-38C513F8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Alicia Huppe</cp:lastModifiedBy>
  <cp:revision>6</cp:revision>
  <cp:lastPrinted>2018-09-04T19:27:00Z</cp:lastPrinted>
  <dcterms:created xsi:type="dcterms:W3CDTF">2023-03-02T19:53:00Z</dcterms:created>
  <dcterms:modified xsi:type="dcterms:W3CDTF">2023-03-02T23:31:00Z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0x0101000DF56B5C85A45D4D8C09EC21E3F3D58C</vt:lpwstr>
  </property>
</Properties>
</file>