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rsidTr="00A526A4">
        <w:tc>
          <w:tcPr>
            <w:tcW w:w="3505" w:type="dxa"/>
            <w:shd w:val="clear" w:color="auto" w:fill="808080" w:themeFill="background1" w:themeFillShade="80"/>
            <w:vAlign w:val="center"/>
          </w:tcPr>
          <w:p w:rsidR="00F32CB1" w:rsidRDefault="00F32CB1" w:rsidP="00757411">
            <w:pPr>
              <w:ind w:left="180" w:hanging="180"/>
              <w:jc w:val="center"/>
            </w:pPr>
          </w:p>
        </w:tc>
        <w:tc>
          <w:tcPr>
            <w:tcW w:w="1350" w:type="dxa"/>
            <w:vAlign w:val="center"/>
          </w:tcPr>
          <w:p w:rsidR="00F32CB1" w:rsidRPr="00087C33" w:rsidRDefault="00F32CB1" w:rsidP="00757411">
            <w:pPr>
              <w:jc w:val="center"/>
              <w:rPr>
                <w:b/>
              </w:rPr>
            </w:pPr>
            <w:r w:rsidRPr="00087C33">
              <w:rPr>
                <w:b/>
              </w:rPr>
              <w:t>Re</w:t>
            </w:r>
            <w:r>
              <w:rPr>
                <w:b/>
              </w:rPr>
              <w:t>sponsive to the Component</w:t>
            </w:r>
          </w:p>
        </w:tc>
        <w:tc>
          <w:tcPr>
            <w:tcW w:w="1170" w:type="dxa"/>
            <w:vAlign w:val="center"/>
          </w:tcPr>
          <w:p w:rsidR="00F32CB1" w:rsidRPr="00087C33" w:rsidRDefault="00F32CB1" w:rsidP="00757411">
            <w:pPr>
              <w:jc w:val="center"/>
              <w:rPr>
                <w:b/>
              </w:rPr>
            </w:pPr>
            <w:r>
              <w:rPr>
                <w:b/>
              </w:rPr>
              <w:t>Evidence</w:t>
            </w:r>
          </w:p>
        </w:tc>
        <w:tc>
          <w:tcPr>
            <w:tcW w:w="1710" w:type="dxa"/>
            <w:vAlign w:val="center"/>
          </w:tcPr>
          <w:p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rsidR="00F32CB1" w:rsidRDefault="00F32CB1" w:rsidP="00757411">
            <w:pPr>
              <w:jc w:val="center"/>
              <w:rPr>
                <w:b/>
              </w:rPr>
            </w:pPr>
            <w:r w:rsidRPr="00087C33">
              <w:rPr>
                <w:b/>
              </w:rPr>
              <w:t>Overall</w:t>
            </w:r>
          </w:p>
          <w:p w:rsidR="00F32CB1" w:rsidRPr="00087C33" w:rsidRDefault="00F32CB1" w:rsidP="00757411">
            <w:pPr>
              <w:jc w:val="center"/>
              <w:rPr>
                <w:b/>
              </w:rPr>
            </w:pPr>
            <w:r w:rsidRPr="00087C33">
              <w:rPr>
                <w:b/>
              </w:rPr>
              <w:t>Judgment</w:t>
            </w:r>
          </w:p>
        </w:tc>
        <w:tc>
          <w:tcPr>
            <w:tcW w:w="4950" w:type="dxa"/>
            <w:vAlign w:val="center"/>
          </w:tcPr>
          <w:p w:rsidR="00F32CB1" w:rsidRPr="00087C33" w:rsidRDefault="00F32CB1" w:rsidP="00757411">
            <w:pPr>
              <w:jc w:val="center"/>
              <w:rPr>
                <w:b/>
              </w:rPr>
            </w:pPr>
            <w:r>
              <w:rPr>
                <w:b/>
              </w:rPr>
              <w:t>Comments</w:t>
            </w:r>
          </w:p>
        </w:tc>
      </w:tr>
      <w:tr w:rsidR="00F32CB1" w:rsidTr="00A526A4">
        <w:tc>
          <w:tcPr>
            <w:tcW w:w="3505" w:type="dxa"/>
          </w:tcPr>
          <w:p w:rsidR="00F32CB1" w:rsidRDefault="00F32CB1" w:rsidP="00757411">
            <w:pPr>
              <w:ind w:left="180" w:hanging="180"/>
            </w:pPr>
            <w:r>
              <w:t>1. What does the unit do?</w:t>
            </w:r>
          </w:p>
          <w:p w:rsidR="00F32CB1" w:rsidRDefault="00F32CB1" w:rsidP="00757411">
            <w:pPr>
              <w:ind w:left="180" w:hanging="180"/>
            </w:pPr>
          </w:p>
        </w:tc>
        <w:tc>
          <w:tcPr>
            <w:tcW w:w="1350" w:type="dxa"/>
          </w:tcPr>
          <w:p w:rsidR="00F32CB1" w:rsidRDefault="00054A44" w:rsidP="00757411">
            <w:r>
              <w:t>AWOR</w:t>
            </w:r>
          </w:p>
        </w:tc>
        <w:tc>
          <w:tcPr>
            <w:tcW w:w="1170" w:type="dxa"/>
            <w:shd w:val="clear" w:color="auto" w:fill="808080" w:themeFill="background1" w:themeFillShade="80"/>
          </w:tcPr>
          <w:p w:rsidR="00F32CB1" w:rsidRDefault="00F32CB1" w:rsidP="00757411"/>
        </w:tc>
        <w:tc>
          <w:tcPr>
            <w:tcW w:w="1710" w:type="dxa"/>
            <w:shd w:val="clear" w:color="auto" w:fill="808080" w:themeFill="background1" w:themeFillShade="80"/>
          </w:tcPr>
          <w:p w:rsidR="00F32CB1" w:rsidRDefault="00F32CB1" w:rsidP="00757411"/>
        </w:tc>
        <w:tc>
          <w:tcPr>
            <w:tcW w:w="1620" w:type="dxa"/>
          </w:tcPr>
          <w:p w:rsidR="00F32CB1" w:rsidRDefault="00054A44" w:rsidP="00757411">
            <w:r>
              <w:t>AWOR</w:t>
            </w:r>
          </w:p>
        </w:tc>
        <w:tc>
          <w:tcPr>
            <w:tcW w:w="4950" w:type="dxa"/>
          </w:tcPr>
          <w:p w:rsidR="00F32CB1" w:rsidRDefault="00054A44" w:rsidP="00757411">
            <w:r>
              <w:t>All points are addressed with clear explanations. SAFAC budget for 2022-2023 is included, can 2023-2024 be added. (10)</w:t>
            </w:r>
          </w:p>
        </w:tc>
      </w:tr>
      <w:tr w:rsidR="00F32CB1" w:rsidTr="00FA2847">
        <w:tc>
          <w:tcPr>
            <w:tcW w:w="3505" w:type="dxa"/>
          </w:tcPr>
          <w:p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rsidR="00F32CB1" w:rsidRDefault="00054A44" w:rsidP="00757411">
            <w:r>
              <w:t>AWOR</w:t>
            </w:r>
          </w:p>
        </w:tc>
        <w:tc>
          <w:tcPr>
            <w:tcW w:w="1170" w:type="dxa"/>
          </w:tcPr>
          <w:p w:rsidR="00F32CB1" w:rsidRDefault="00054A44" w:rsidP="00757411">
            <w:r>
              <w:t>AWOR</w:t>
            </w:r>
          </w:p>
        </w:tc>
        <w:tc>
          <w:tcPr>
            <w:tcW w:w="1710" w:type="dxa"/>
          </w:tcPr>
          <w:p w:rsidR="00F32CB1" w:rsidRDefault="00054A44" w:rsidP="00757411">
            <w:r>
              <w:t>AWOR</w:t>
            </w:r>
          </w:p>
        </w:tc>
        <w:tc>
          <w:tcPr>
            <w:tcW w:w="1620" w:type="dxa"/>
          </w:tcPr>
          <w:p w:rsidR="00F32CB1" w:rsidRDefault="00054A44" w:rsidP="00757411">
            <w:r>
              <w:t>AWOR</w:t>
            </w:r>
          </w:p>
        </w:tc>
        <w:tc>
          <w:tcPr>
            <w:tcW w:w="4950" w:type="dxa"/>
          </w:tcPr>
          <w:p w:rsidR="00F32CB1" w:rsidRDefault="00054A44" w:rsidP="00757411">
            <w:r>
              <w:t>Many examples of how the service unit supports the mission statement of the College. They adequately tie in two points of the current strategic and master plan. (13)</w:t>
            </w:r>
          </w:p>
        </w:tc>
      </w:tr>
      <w:tr w:rsidR="00F32CB1" w:rsidTr="00FA2847">
        <w:tc>
          <w:tcPr>
            <w:tcW w:w="3505" w:type="dxa"/>
          </w:tcPr>
          <w:p w:rsidR="00F32CB1" w:rsidRDefault="00F32CB1" w:rsidP="00757411">
            <w:pPr>
              <w:ind w:left="180" w:hanging="180"/>
            </w:pPr>
            <w:r>
              <w:t>3. Why are the unit processes done?</w:t>
            </w:r>
          </w:p>
        </w:tc>
        <w:tc>
          <w:tcPr>
            <w:tcW w:w="1350" w:type="dxa"/>
          </w:tcPr>
          <w:p w:rsidR="00F32CB1" w:rsidRDefault="00054A44" w:rsidP="00757411">
            <w:r>
              <w:t>AWOR</w:t>
            </w:r>
          </w:p>
        </w:tc>
        <w:tc>
          <w:tcPr>
            <w:tcW w:w="1170" w:type="dxa"/>
          </w:tcPr>
          <w:p w:rsidR="00F32CB1" w:rsidRDefault="00054A44" w:rsidP="00757411">
            <w:r>
              <w:t>AWOR</w:t>
            </w:r>
          </w:p>
        </w:tc>
        <w:tc>
          <w:tcPr>
            <w:tcW w:w="1710" w:type="dxa"/>
          </w:tcPr>
          <w:p w:rsidR="00F32CB1" w:rsidRDefault="00054A44" w:rsidP="00757411">
            <w:r>
              <w:t>AWR</w:t>
            </w:r>
          </w:p>
        </w:tc>
        <w:tc>
          <w:tcPr>
            <w:tcW w:w="1620" w:type="dxa"/>
          </w:tcPr>
          <w:p w:rsidR="00F32CB1" w:rsidRDefault="00054A44" w:rsidP="00757411">
            <w:r>
              <w:t>AWOR</w:t>
            </w:r>
          </w:p>
        </w:tc>
        <w:tc>
          <w:tcPr>
            <w:tcW w:w="4950" w:type="dxa"/>
          </w:tcPr>
          <w:p w:rsidR="00F32CB1" w:rsidRDefault="00054A44" w:rsidP="00757411">
            <w:r>
              <w:t>Section A was very well written and analyzed. I would like to see more reflection and analysis of how the service unit can be improved by implementing ideas from the benchmarking review of other institutions. (12)</w:t>
            </w:r>
          </w:p>
        </w:tc>
      </w:tr>
      <w:tr w:rsidR="00F32CB1" w:rsidTr="00FA2847">
        <w:tc>
          <w:tcPr>
            <w:tcW w:w="3505" w:type="dxa"/>
          </w:tcPr>
          <w:p w:rsidR="00F32CB1" w:rsidRDefault="00F32CB1" w:rsidP="00757411">
            <w:pPr>
              <w:ind w:left="180" w:hanging="180"/>
            </w:pPr>
            <w:r>
              <w:t>4. How does the unit impact student outcomes?</w:t>
            </w:r>
          </w:p>
        </w:tc>
        <w:tc>
          <w:tcPr>
            <w:tcW w:w="1350" w:type="dxa"/>
          </w:tcPr>
          <w:p w:rsidR="00F32CB1" w:rsidRDefault="00054A44" w:rsidP="00757411">
            <w:r>
              <w:t>AWOR</w:t>
            </w:r>
          </w:p>
        </w:tc>
        <w:tc>
          <w:tcPr>
            <w:tcW w:w="1170" w:type="dxa"/>
          </w:tcPr>
          <w:p w:rsidR="00F32CB1" w:rsidRDefault="00054A44" w:rsidP="00757411">
            <w:r>
              <w:t>AWR</w:t>
            </w:r>
          </w:p>
        </w:tc>
        <w:tc>
          <w:tcPr>
            <w:tcW w:w="1710" w:type="dxa"/>
          </w:tcPr>
          <w:p w:rsidR="00F32CB1" w:rsidRDefault="00054A44" w:rsidP="00757411">
            <w:r>
              <w:t>AWR</w:t>
            </w:r>
          </w:p>
        </w:tc>
        <w:tc>
          <w:tcPr>
            <w:tcW w:w="1620" w:type="dxa"/>
          </w:tcPr>
          <w:p w:rsidR="00F32CB1" w:rsidRDefault="00054A44" w:rsidP="00757411">
            <w:r>
              <w:t>AWOR</w:t>
            </w:r>
          </w:p>
        </w:tc>
        <w:tc>
          <w:tcPr>
            <w:tcW w:w="4950" w:type="dxa"/>
          </w:tcPr>
          <w:p w:rsidR="00F32CB1" w:rsidRDefault="00054A44" w:rsidP="00757411">
            <w:r>
              <w:t xml:space="preserve">This section of the review is answered completely with </w:t>
            </w:r>
            <w:r w:rsidRPr="002E1F3E">
              <w:t>a thorough analysis.</w:t>
            </w:r>
            <w:r>
              <w:t xml:space="preserve"> One point to consider moving forward; the reference provided is from 2005. We know that the student body has dramatically changed over the years, especially since COVID, it may be beneficial to research more current references. (13)</w:t>
            </w:r>
          </w:p>
        </w:tc>
      </w:tr>
      <w:tr w:rsidR="00F32CB1" w:rsidTr="00FA2847">
        <w:tc>
          <w:tcPr>
            <w:tcW w:w="3505" w:type="dxa"/>
          </w:tcPr>
          <w:p w:rsidR="00F32CB1" w:rsidRDefault="00F32CB1" w:rsidP="00757411">
            <w:pPr>
              <w:ind w:left="180" w:hanging="180"/>
            </w:pPr>
            <w:r>
              <w:t>5.  How effectively does the unit communicate?</w:t>
            </w:r>
          </w:p>
        </w:tc>
        <w:tc>
          <w:tcPr>
            <w:tcW w:w="1350" w:type="dxa"/>
            <w:shd w:val="clear" w:color="auto" w:fill="auto"/>
          </w:tcPr>
          <w:p w:rsidR="00F32CB1" w:rsidRDefault="00054A44" w:rsidP="00757411">
            <w:r>
              <w:t>AW</w:t>
            </w:r>
            <w:r w:rsidR="002E1F3E">
              <w:t>O</w:t>
            </w:r>
            <w:r>
              <w:t>R</w:t>
            </w:r>
          </w:p>
        </w:tc>
        <w:tc>
          <w:tcPr>
            <w:tcW w:w="1170" w:type="dxa"/>
            <w:shd w:val="clear" w:color="auto" w:fill="auto"/>
          </w:tcPr>
          <w:p w:rsidR="00F32CB1" w:rsidRDefault="00054A44" w:rsidP="00757411">
            <w:r>
              <w:t>AWR</w:t>
            </w:r>
          </w:p>
        </w:tc>
        <w:tc>
          <w:tcPr>
            <w:tcW w:w="1710" w:type="dxa"/>
            <w:shd w:val="clear" w:color="auto" w:fill="auto"/>
          </w:tcPr>
          <w:p w:rsidR="00F32CB1" w:rsidRDefault="00054A44" w:rsidP="00757411">
            <w:r>
              <w:t>AW</w:t>
            </w:r>
            <w:r w:rsidR="002E1F3E">
              <w:t>O</w:t>
            </w:r>
            <w:r>
              <w:t>R</w:t>
            </w:r>
          </w:p>
        </w:tc>
        <w:tc>
          <w:tcPr>
            <w:tcW w:w="1620" w:type="dxa"/>
            <w:shd w:val="clear" w:color="auto" w:fill="auto"/>
          </w:tcPr>
          <w:p w:rsidR="00F32CB1" w:rsidRDefault="00054A44" w:rsidP="00757411">
            <w:r>
              <w:t>AW</w:t>
            </w:r>
            <w:r w:rsidR="002E1F3E">
              <w:t>O</w:t>
            </w:r>
            <w:r>
              <w:t>R</w:t>
            </w:r>
          </w:p>
        </w:tc>
        <w:tc>
          <w:tcPr>
            <w:tcW w:w="4950" w:type="dxa"/>
          </w:tcPr>
          <w:p w:rsidR="00F32CB1" w:rsidRDefault="00054A44" w:rsidP="00757411">
            <w:r>
              <w:t>How is student feedback regarding printed literature gathered? And how has the service unit used the feedback to make improvements. Student Engagement uses a variety of means to communicate with students and does ensure that information is current. (10)</w:t>
            </w:r>
          </w:p>
        </w:tc>
      </w:tr>
      <w:tr w:rsidR="00F32CB1" w:rsidTr="00FA2847">
        <w:tc>
          <w:tcPr>
            <w:tcW w:w="3505" w:type="dxa"/>
          </w:tcPr>
          <w:p w:rsidR="00F32CB1" w:rsidRDefault="00F32CB1" w:rsidP="006855C6">
            <w:pPr>
              <w:ind w:left="180" w:hanging="180"/>
            </w:pPr>
            <w:r>
              <w:lastRenderedPageBreak/>
              <w:t xml:space="preserve">6. Does the unit </w:t>
            </w:r>
            <w:r w:rsidR="006855C6">
              <w:t>build and</w:t>
            </w:r>
            <w:r>
              <w:t xml:space="preserve"> leverage partnership</w:t>
            </w:r>
            <w:r w:rsidR="006855C6">
              <w:t>s</w:t>
            </w:r>
            <w:r>
              <w:t>?</w:t>
            </w:r>
          </w:p>
        </w:tc>
        <w:tc>
          <w:tcPr>
            <w:tcW w:w="1350" w:type="dxa"/>
          </w:tcPr>
          <w:p w:rsidR="00F32CB1" w:rsidRDefault="00054A44" w:rsidP="00757411">
            <w:r>
              <w:t>AWOR</w:t>
            </w:r>
          </w:p>
        </w:tc>
        <w:tc>
          <w:tcPr>
            <w:tcW w:w="1170" w:type="dxa"/>
          </w:tcPr>
          <w:p w:rsidR="00F32CB1" w:rsidRDefault="00054A44" w:rsidP="00757411">
            <w:r>
              <w:t>AWOR</w:t>
            </w:r>
          </w:p>
        </w:tc>
        <w:tc>
          <w:tcPr>
            <w:tcW w:w="1710" w:type="dxa"/>
          </w:tcPr>
          <w:p w:rsidR="00F32CB1" w:rsidRDefault="00054A44" w:rsidP="00757411">
            <w:r>
              <w:t>AWOR</w:t>
            </w:r>
          </w:p>
        </w:tc>
        <w:tc>
          <w:tcPr>
            <w:tcW w:w="1620" w:type="dxa"/>
          </w:tcPr>
          <w:p w:rsidR="00F32CB1" w:rsidRDefault="00054A44" w:rsidP="00757411">
            <w:r>
              <w:t>AWOR</w:t>
            </w:r>
          </w:p>
        </w:tc>
        <w:tc>
          <w:tcPr>
            <w:tcW w:w="4950" w:type="dxa"/>
          </w:tcPr>
          <w:p w:rsidR="00F32CB1" w:rsidRDefault="00054A44" w:rsidP="00757411">
            <w:r>
              <w:t>Great job on all of the partnerships that are maintained. (13)</w:t>
            </w:r>
          </w:p>
        </w:tc>
      </w:tr>
      <w:tr w:rsidR="00F32CB1" w:rsidTr="00FA2847">
        <w:tc>
          <w:tcPr>
            <w:tcW w:w="3505" w:type="dxa"/>
          </w:tcPr>
          <w:p w:rsidR="00F32CB1" w:rsidRDefault="00F32CB1" w:rsidP="006855C6">
            <w:pPr>
              <w:ind w:left="180" w:hanging="180"/>
            </w:pPr>
            <w:r>
              <w:t xml:space="preserve">7. </w:t>
            </w:r>
            <w:r w:rsidR="005F2368">
              <w:t>Are staff supported with</w:t>
            </w:r>
            <w:r>
              <w:t xml:space="preserve"> professional development?</w:t>
            </w:r>
          </w:p>
        </w:tc>
        <w:tc>
          <w:tcPr>
            <w:tcW w:w="1350" w:type="dxa"/>
          </w:tcPr>
          <w:p w:rsidR="00F32CB1" w:rsidRDefault="00054A44" w:rsidP="00757411">
            <w:r>
              <w:t>R/R</w:t>
            </w:r>
          </w:p>
        </w:tc>
        <w:tc>
          <w:tcPr>
            <w:tcW w:w="1170" w:type="dxa"/>
          </w:tcPr>
          <w:p w:rsidR="00F32CB1" w:rsidRDefault="00054A44" w:rsidP="00757411">
            <w:r>
              <w:t>ARC</w:t>
            </w:r>
          </w:p>
        </w:tc>
        <w:tc>
          <w:tcPr>
            <w:tcW w:w="1710" w:type="dxa"/>
          </w:tcPr>
          <w:p w:rsidR="00F32CB1" w:rsidRDefault="00054A44" w:rsidP="00757411">
            <w:r>
              <w:t>R/R</w:t>
            </w:r>
          </w:p>
        </w:tc>
        <w:tc>
          <w:tcPr>
            <w:tcW w:w="1620" w:type="dxa"/>
          </w:tcPr>
          <w:p w:rsidR="00F32CB1" w:rsidRDefault="00054A44" w:rsidP="00757411">
            <w:r>
              <w:t>R/R</w:t>
            </w:r>
          </w:p>
        </w:tc>
        <w:tc>
          <w:tcPr>
            <w:tcW w:w="4950" w:type="dxa"/>
          </w:tcPr>
          <w:p w:rsidR="00F32CB1" w:rsidRDefault="00054A44" w:rsidP="00757411">
            <w:r>
              <w:t>The table is not filled out correctly and the “How is it Valuable to the Unit?” analysis is not present. (1)</w:t>
            </w:r>
          </w:p>
        </w:tc>
      </w:tr>
      <w:tr w:rsidR="00F32CB1" w:rsidTr="00A526A4">
        <w:tc>
          <w:tcPr>
            <w:tcW w:w="3505" w:type="dxa"/>
          </w:tcPr>
          <w:p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rsidR="00F32CB1" w:rsidRDefault="00F32CB1" w:rsidP="00757411"/>
        </w:tc>
        <w:tc>
          <w:tcPr>
            <w:tcW w:w="1170" w:type="dxa"/>
            <w:shd w:val="clear" w:color="auto" w:fill="808080" w:themeFill="background1" w:themeFillShade="80"/>
          </w:tcPr>
          <w:p w:rsidR="00F32CB1" w:rsidRDefault="00F32CB1" w:rsidP="00757411"/>
        </w:tc>
        <w:tc>
          <w:tcPr>
            <w:tcW w:w="1710" w:type="dxa"/>
            <w:shd w:val="clear" w:color="auto" w:fill="808080" w:themeFill="background1" w:themeFillShade="80"/>
          </w:tcPr>
          <w:p w:rsidR="00F32CB1" w:rsidRDefault="00F32CB1" w:rsidP="00757411"/>
        </w:tc>
        <w:tc>
          <w:tcPr>
            <w:tcW w:w="1620" w:type="dxa"/>
            <w:shd w:val="clear" w:color="auto" w:fill="808080" w:themeFill="background1" w:themeFillShade="80"/>
          </w:tcPr>
          <w:p w:rsidR="00F32CB1" w:rsidRDefault="00F32CB1" w:rsidP="00757411"/>
        </w:tc>
        <w:tc>
          <w:tcPr>
            <w:tcW w:w="4950" w:type="dxa"/>
          </w:tcPr>
          <w:p w:rsidR="00F32CB1" w:rsidRDefault="00054A44" w:rsidP="00757411">
            <w:r>
              <w:t>For a cleaner look, delete the extra rows.</w:t>
            </w:r>
          </w:p>
        </w:tc>
      </w:tr>
      <w:tr w:rsidR="005E3D1F" w:rsidTr="00FA2847">
        <w:tc>
          <w:tcPr>
            <w:tcW w:w="3505" w:type="dxa"/>
          </w:tcPr>
          <w:p w:rsidR="005E3D1F" w:rsidRDefault="005E3D1F" w:rsidP="006855C6">
            <w:pPr>
              <w:ind w:left="180" w:hanging="180"/>
            </w:pPr>
            <w:r>
              <w:t xml:space="preserve">9. How have past </w:t>
            </w:r>
            <w:r w:rsidR="006855C6">
              <w:t xml:space="preserve">CIPs </w:t>
            </w:r>
            <w:r>
              <w:t>contributed to success?</w:t>
            </w:r>
          </w:p>
        </w:tc>
        <w:tc>
          <w:tcPr>
            <w:tcW w:w="1350" w:type="dxa"/>
          </w:tcPr>
          <w:p w:rsidR="005E3D1F" w:rsidRDefault="00054A44" w:rsidP="00757411">
            <w:r>
              <w:t>ARC</w:t>
            </w:r>
          </w:p>
        </w:tc>
        <w:tc>
          <w:tcPr>
            <w:tcW w:w="1170" w:type="dxa"/>
          </w:tcPr>
          <w:p w:rsidR="005E3D1F" w:rsidRDefault="00054A44" w:rsidP="00757411">
            <w:r>
              <w:t>ARC</w:t>
            </w:r>
          </w:p>
        </w:tc>
        <w:tc>
          <w:tcPr>
            <w:tcW w:w="1710" w:type="dxa"/>
          </w:tcPr>
          <w:p w:rsidR="005E3D1F" w:rsidRDefault="00054A44" w:rsidP="00757411">
            <w:r>
              <w:t>A</w:t>
            </w:r>
            <w:r w:rsidR="00644126">
              <w:t>RC</w:t>
            </w:r>
          </w:p>
        </w:tc>
        <w:tc>
          <w:tcPr>
            <w:tcW w:w="1620" w:type="dxa"/>
          </w:tcPr>
          <w:p w:rsidR="005E3D1F" w:rsidRDefault="00054A44" w:rsidP="00757411">
            <w:r>
              <w:t>ARC</w:t>
            </w:r>
          </w:p>
        </w:tc>
        <w:tc>
          <w:tcPr>
            <w:tcW w:w="4950" w:type="dxa"/>
          </w:tcPr>
          <w:p w:rsidR="005E3D1F" w:rsidRDefault="00054A44" w:rsidP="00757411">
            <w:r>
              <w:t xml:space="preserve">Two CIPS should have been completed during the </w:t>
            </w:r>
            <w:proofErr w:type="gramStart"/>
            <w:r>
              <w:t>5 year</w:t>
            </w:r>
            <w:proofErr w:type="gramEnd"/>
            <w:r>
              <w:t xml:space="preserve"> cycle, where is the other CIP? Earlier in the review it was stated that during the 2022-2023 AY, there were 36479 attendees, why only 506 surveys? Is “Probably Will” a </w:t>
            </w:r>
            <w:r w:rsidR="00644126">
              <w:t xml:space="preserve">true </w:t>
            </w:r>
            <w:r>
              <w:t>“Definitive Yes?” (6)</w:t>
            </w:r>
          </w:p>
        </w:tc>
      </w:tr>
      <w:tr w:rsidR="00F32CB1" w:rsidTr="00FA2847">
        <w:tc>
          <w:tcPr>
            <w:tcW w:w="3505" w:type="dxa"/>
          </w:tcPr>
          <w:p w:rsidR="00F32CB1" w:rsidRDefault="005E3D1F" w:rsidP="00757411">
            <w:pPr>
              <w:ind w:left="180" w:hanging="180"/>
            </w:pPr>
            <w:r>
              <w:t>10</w:t>
            </w:r>
            <w:r w:rsidR="00F32CB1">
              <w:t xml:space="preserve">. </w:t>
            </w:r>
            <w:r>
              <w:t xml:space="preserve"> How will the unit evaluate its success?</w:t>
            </w:r>
          </w:p>
        </w:tc>
        <w:tc>
          <w:tcPr>
            <w:tcW w:w="1350" w:type="dxa"/>
          </w:tcPr>
          <w:p w:rsidR="00F32CB1" w:rsidRDefault="00054A44" w:rsidP="00757411">
            <w:r>
              <w:t>AWOR</w:t>
            </w:r>
          </w:p>
        </w:tc>
        <w:tc>
          <w:tcPr>
            <w:tcW w:w="1170" w:type="dxa"/>
          </w:tcPr>
          <w:p w:rsidR="00F32CB1" w:rsidRDefault="00054A44" w:rsidP="00757411">
            <w:r>
              <w:t>AWOR</w:t>
            </w:r>
          </w:p>
        </w:tc>
        <w:tc>
          <w:tcPr>
            <w:tcW w:w="1710" w:type="dxa"/>
          </w:tcPr>
          <w:p w:rsidR="00F32CB1" w:rsidRDefault="00054A44" w:rsidP="00757411">
            <w:r>
              <w:t>AWR</w:t>
            </w:r>
          </w:p>
        </w:tc>
        <w:tc>
          <w:tcPr>
            <w:tcW w:w="1620" w:type="dxa"/>
          </w:tcPr>
          <w:p w:rsidR="00F32CB1" w:rsidRDefault="00054A44" w:rsidP="00757411">
            <w:r>
              <w:t>AWOR</w:t>
            </w:r>
          </w:p>
        </w:tc>
        <w:tc>
          <w:tcPr>
            <w:tcW w:w="4950" w:type="dxa"/>
          </w:tcPr>
          <w:p w:rsidR="00F32CB1" w:rsidRDefault="00054A44" w:rsidP="00757411">
            <w:r>
              <w:t>All prompts are answered. However, a more thorough discussion on how the weakness of “Limited Personalization” will be address beyond working with stakeholders would be beneficial. What has been done with this so far, how is the feedback/information going to be implemented? (12)</w:t>
            </w:r>
          </w:p>
        </w:tc>
      </w:tr>
      <w:tr w:rsidR="00F32CB1" w:rsidTr="00A526A4">
        <w:tc>
          <w:tcPr>
            <w:tcW w:w="3505" w:type="dxa"/>
          </w:tcPr>
          <w:p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rsidR="00F32CB1" w:rsidRDefault="00F32CB1" w:rsidP="00757411">
            <w:pPr>
              <w:ind w:left="180" w:hanging="180"/>
            </w:pPr>
          </w:p>
        </w:tc>
        <w:tc>
          <w:tcPr>
            <w:tcW w:w="1350" w:type="dxa"/>
          </w:tcPr>
          <w:p w:rsidR="00F32CB1" w:rsidRDefault="00054A44" w:rsidP="00757411">
            <w:r>
              <w:t>AWOR</w:t>
            </w:r>
          </w:p>
        </w:tc>
        <w:tc>
          <w:tcPr>
            <w:tcW w:w="1170" w:type="dxa"/>
            <w:shd w:val="clear" w:color="auto" w:fill="808080" w:themeFill="background1" w:themeFillShade="80"/>
          </w:tcPr>
          <w:p w:rsidR="00F32CB1" w:rsidRDefault="00F32CB1" w:rsidP="00757411"/>
        </w:tc>
        <w:tc>
          <w:tcPr>
            <w:tcW w:w="1710" w:type="dxa"/>
            <w:shd w:val="clear" w:color="auto" w:fill="808080" w:themeFill="background1" w:themeFillShade="80"/>
          </w:tcPr>
          <w:p w:rsidR="00F32CB1" w:rsidRDefault="00F32CB1" w:rsidP="00757411"/>
        </w:tc>
        <w:tc>
          <w:tcPr>
            <w:tcW w:w="1620" w:type="dxa"/>
          </w:tcPr>
          <w:p w:rsidR="00F32CB1" w:rsidRDefault="00054A44" w:rsidP="00757411">
            <w:r>
              <w:t>AWOR</w:t>
            </w:r>
          </w:p>
        </w:tc>
        <w:tc>
          <w:tcPr>
            <w:tcW w:w="4950" w:type="dxa"/>
          </w:tcPr>
          <w:p w:rsidR="00F32CB1" w:rsidRDefault="00054A44" w:rsidP="00757411">
            <w:r>
              <w:t>What would an increased rating of 4.70 for increase student satisfaction going to “look-like” over the current ratings.</w:t>
            </w:r>
          </w:p>
          <w:p w:rsidR="00054A44" w:rsidRDefault="00054A44" w:rsidP="00757411">
            <w:r>
              <w:t>It was noted earlier in the review that Student Engagement currently offers approximately 10% of their programming virtually, so why is offering 10% of the future programming a target for the future CIP? (10)</w:t>
            </w:r>
          </w:p>
        </w:tc>
      </w:tr>
    </w:tbl>
    <w:p w:rsidR="00287D3E" w:rsidRDefault="00287D3E" w:rsidP="00313B9A"/>
    <w:p w:rsidR="006761AD" w:rsidRPr="00865A44" w:rsidRDefault="006761AD" w:rsidP="006761AD">
      <w:pPr>
        <w:rPr>
          <w:rFonts w:ascii="Calibri" w:eastAsia="Calibri" w:hAnsi="Calibri" w:cs="Times New Roman"/>
        </w:rPr>
      </w:pPr>
    </w:p>
    <w:p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rsidTr="00C766EE">
        <w:trPr>
          <w:trHeight w:val="404"/>
        </w:trPr>
        <w:tc>
          <w:tcPr>
            <w:tcW w:w="4145" w:type="dxa"/>
          </w:tcPr>
          <w:p w:rsidR="00C766EE" w:rsidRPr="00865A44" w:rsidRDefault="00C766EE"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145" w:type="dxa"/>
          </w:tcPr>
          <w:p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 xml:space="preserve">Accepted </w:t>
            </w:r>
            <w:proofErr w:type="gramStart"/>
            <w:r>
              <w:rPr>
                <w:rFonts w:ascii="Calibri" w:eastAsia="Calibri" w:hAnsi="Calibri" w:cs="Times New Roman"/>
                <w:sz w:val="24"/>
                <w:szCs w:val="24"/>
              </w:rPr>
              <w:t>W</w:t>
            </w:r>
            <w:r w:rsidRPr="00865A44">
              <w:rPr>
                <w:rFonts w:ascii="Calibri" w:eastAsia="Calibri" w:hAnsi="Calibri" w:cs="Times New Roman"/>
                <w:sz w:val="24"/>
                <w:szCs w:val="24"/>
              </w:rPr>
              <w:t>ith</w:t>
            </w:r>
            <w:proofErr w:type="gramEnd"/>
            <w:r w:rsidRPr="00865A44">
              <w:rPr>
                <w:rFonts w:ascii="Calibri" w:eastAsia="Calibri" w:hAnsi="Calibri" w:cs="Times New Roman"/>
                <w:sz w:val="24"/>
                <w:szCs w:val="24"/>
              </w:rPr>
              <w:t xml:space="preserve"> Recommendations</w:t>
            </w:r>
          </w:p>
        </w:tc>
        <w:tc>
          <w:tcPr>
            <w:tcW w:w="2469" w:type="dxa"/>
          </w:tcPr>
          <w:p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w:t>
            </w:r>
            <w:proofErr w:type="spellStart"/>
            <w:r w:rsidR="002E1F3E">
              <w:rPr>
                <w:rFonts w:ascii="Calibri" w:eastAsia="Calibri" w:hAnsi="Calibri" w:cs="Times New Roman"/>
                <w:sz w:val="24"/>
                <w:szCs w:val="24"/>
                <w:u w:val="single"/>
              </w:rPr>
              <w:t>X</w:t>
            </w:r>
            <w:r>
              <w:rPr>
                <w:rFonts w:ascii="Calibri" w:eastAsia="Calibri" w:hAnsi="Calibri" w:cs="Times New Roman"/>
                <w:sz w:val="24"/>
                <w:szCs w:val="24"/>
                <w:u w:val="single"/>
              </w:rPr>
              <w:t>_</w:t>
            </w:r>
            <w:r>
              <w:rPr>
                <w:rFonts w:ascii="Calibri" w:eastAsia="Calibri" w:hAnsi="Calibri" w:cs="Times New Roman"/>
                <w:sz w:val="24"/>
                <w:szCs w:val="24"/>
              </w:rPr>
              <w:t>Accepted</w:t>
            </w:r>
            <w:proofErr w:type="spellEnd"/>
            <w:r>
              <w:rPr>
                <w:rFonts w:ascii="Calibri" w:eastAsia="Calibri" w:hAnsi="Calibri" w:cs="Times New Roman"/>
                <w:sz w:val="24"/>
                <w:szCs w:val="24"/>
              </w:rPr>
              <w:t xml:space="preserve"> with Required Recommendations</w:t>
            </w:r>
          </w:p>
        </w:tc>
        <w:tc>
          <w:tcPr>
            <w:tcW w:w="2633" w:type="dxa"/>
          </w:tcPr>
          <w:p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rsidR="006761AD" w:rsidRDefault="006761AD" w:rsidP="006761AD">
      <w:pPr>
        <w:jc w:val="center"/>
      </w:pPr>
    </w:p>
    <w:p w:rsidR="006761AD" w:rsidRDefault="006761AD" w:rsidP="006761AD"/>
    <w:p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45D1F259" wp14:editId="224B233D">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rsidR="006761AD" w:rsidRDefault="002E1F3E" w:rsidP="006761AD">
                            <w:r>
                              <w:t>The service unit review is done well, however, there are a few sections where a more complete analysis is needed. Attention is needed to correct the table describing how the staff is supported with professional development. The review only includes one CIP when discussing how previous CIPS contributed to success; and the summary of survey results is misleading.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rsidR="006761AD" w:rsidRDefault="002E1F3E" w:rsidP="006761AD">
                      <w:r>
                        <w:t>The service unit review is done well, however, there are a few sections where a more complete analysis is needed. Attention is needed to correct the table describing how the staff is supported with professional development. The review only includes one CIP when discussing how previous CIPS contributed to success; and the summary of survey results is misleading.</w:t>
                      </w:r>
                      <w:bookmarkStart w:id="1" w:name="_GoBack"/>
                      <w:bookmarkEnd w:id="1"/>
                    </w:p>
                  </w:txbxContent>
                </v:textbox>
                <w10:wrap type="square"/>
              </v:shape>
            </w:pict>
          </mc:Fallback>
        </mc:AlternateContent>
      </w:r>
      <w:r w:rsidRPr="00101233">
        <w:rPr>
          <w:b/>
        </w:rPr>
        <w:t>General comments about the submission or rationale for the conclusion:</w:t>
      </w:r>
    </w:p>
    <w:p w:rsidR="006761AD" w:rsidRDefault="006761AD" w:rsidP="006761AD">
      <w:pPr>
        <w:rPr>
          <w:sz w:val="20"/>
          <w:szCs w:val="20"/>
        </w:rPr>
      </w:pPr>
    </w:p>
    <w:p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1C" w:rsidRDefault="000D221C" w:rsidP="00FA0207">
      <w:pPr>
        <w:spacing w:after="0" w:line="240" w:lineRule="auto"/>
      </w:pPr>
      <w:r>
        <w:separator/>
      </w:r>
    </w:p>
  </w:endnote>
  <w:endnote w:type="continuationSeparator" w:id="0">
    <w:p w:rsidR="000D221C" w:rsidRDefault="000D221C"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1C" w:rsidRDefault="000D221C" w:rsidP="00FA0207">
      <w:pPr>
        <w:spacing w:after="0" w:line="240" w:lineRule="auto"/>
      </w:pPr>
      <w:r>
        <w:separator/>
      </w:r>
    </w:p>
  </w:footnote>
  <w:footnote w:type="continuationSeparator" w:id="0">
    <w:p w:rsidR="000D221C" w:rsidRDefault="000D221C"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02C6B7B" wp14:editId="33240EF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rsidR="006761AD" w:rsidRDefault="006761AD" w:rsidP="00F22194">
    <w:pPr>
      <w:pStyle w:val="Header"/>
      <w:jc w:val="center"/>
      <w:rPr>
        <w:b/>
        <w:sz w:val="24"/>
        <w:szCs w:val="24"/>
      </w:rPr>
    </w:pPr>
  </w:p>
  <w:p w:rsidR="006761AD" w:rsidRDefault="006761AD" w:rsidP="00F22194">
    <w:pPr>
      <w:pStyle w:val="Header"/>
      <w:jc w:val="center"/>
      <w:rPr>
        <w:b/>
        <w:sz w:val="24"/>
        <w:szCs w:val="24"/>
      </w:rPr>
    </w:pPr>
  </w:p>
  <w:p w:rsidR="006761AD" w:rsidRDefault="006761AD" w:rsidP="006761AD">
    <w:pPr>
      <w:rPr>
        <w:b/>
      </w:rPr>
    </w:pPr>
    <w:r>
      <w:rPr>
        <w:b/>
      </w:rPr>
      <w:t>Unit</w:t>
    </w:r>
    <w:r w:rsidRPr="00A030C9">
      <w:rPr>
        <w:b/>
      </w:rPr>
      <w:t xml:space="preserve"> name</w:t>
    </w:r>
    <w:r>
      <w:rPr>
        <w:b/>
      </w:rPr>
      <w:t xml:space="preserve">: </w:t>
    </w:r>
    <w:r w:rsidRPr="00F32CB1">
      <w:rPr>
        <w:b/>
      </w:rPr>
      <w:t>____</w:t>
    </w:r>
    <w:r w:rsidR="00054A44">
      <w:rPr>
        <w:b/>
      </w:rPr>
      <w:t>Student Engagement</w:t>
    </w:r>
    <w:r w:rsidRPr="00F32CB1">
      <w:rPr>
        <w:b/>
      </w:rPr>
      <w:t xml:space="preserve">_________________________________ </w:t>
    </w:r>
    <w:r>
      <w:rPr>
        <w:b/>
      </w:rPr>
      <w:tab/>
    </w:r>
    <w:r>
      <w:rPr>
        <w:b/>
      </w:rPr>
      <w:tab/>
    </w:r>
    <w:r w:rsidRPr="00647B52">
      <w:t xml:space="preserve"> </w:t>
    </w:r>
    <w:r>
      <w:rPr>
        <w:b/>
      </w:rPr>
      <w:t>Reviewer: ___</w:t>
    </w:r>
    <w:r w:rsidR="00054A44">
      <w:rPr>
        <w:b/>
      </w:rPr>
      <w:t>Dawn Richardson</w:t>
    </w:r>
    <w:r>
      <w:rPr>
        <w:b/>
      </w:rPr>
      <w:t>_________________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54A44"/>
    <w:rsid w:val="00087C33"/>
    <w:rsid w:val="000C642A"/>
    <w:rsid w:val="000D221C"/>
    <w:rsid w:val="000F34DF"/>
    <w:rsid w:val="00116950"/>
    <w:rsid w:val="001F2CFF"/>
    <w:rsid w:val="00261EDF"/>
    <w:rsid w:val="00287D3E"/>
    <w:rsid w:val="002C37C9"/>
    <w:rsid w:val="002E1F3E"/>
    <w:rsid w:val="003078A4"/>
    <w:rsid w:val="00313B9A"/>
    <w:rsid w:val="005E3D1F"/>
    <w:rsid w:val="005F2368"/>
    <w:rsid w:val="00604216"/>
    <w:rsid w:val="006148C6"/>
    <w:rsid w:val="00624FAE"/>
    <w:rsid w:val="00644126"/>
    <w:rsid w:val="00647B52"/>
    <w:rsid w:val="006761AD"/>
    <w:rsid w:val="006819E6"/>
    <w:rsid w:val="006855C6"/>
    <w:rsid w:val="006D169C"/>
    <w:rsid w:val="0075232C"/>
    <w:rsid w:val="00757411"/>
    <w:rsid w:val="00763184"/>
    <w:rsid w:val="00764B05"/>
    <w:rsid w:val="007F64F0"/>
    <w:rsid w:val="00807167"/>
    <w:rsid w:val="008B41CB"/>
    <w:rsid w:val="009A51CC"/>
    <w:rsid w:val="009D2932"/>
    <w:rsid w:val="00A030C9"/>
    <w:rsid w:val="00A40501"/>
    <w:rsid w:val="00A526A4"/>
    <w:rsid w:val="00AD42E8"/>
    <w:rsid w:val="00AF0C97"/>
    <w:rsid w:val="00C13D56"/>
    <w:rsid w:val="00C766EE"/>
    <w:rsid w:val="00CA3289"/>
    <w:rsid w:val="00CD1781"/>
    <w:rsid w:val="00D47C6C"/>
    <w:rsid w:val="00DB0D1F"/>
    <w:rsid w:val="00DB4774"/>
    <w:rsid w:val="00DE7492"/>
    <w:rsid w:val="00E22EAE"/>
    <w:rsid w:val="00E514A1"/>
    <w:rsid w:val="00E96EC7"/>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D802"/>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2719</Characters>
  <Application>Microsoft Office Word</Application>
  <DocSecurity>0</DocSecurity>
  <Lines>151</Lines>
  <Paragraphs>85</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Dawn Jo-Elle Richardson</cp:lastModifiedBy>
  <cp:revision>2</cp:revision>
  <cp:lastPrinted>2016-01-08T15:56:00Z</cp:lastPrinted>
  <dcterms:created xsi:type="dcterms:W3CDTF">2024-03-31T21:48:00Z</dcterms:created>
  <dcterms:modified xsi:type="dcterms:W3CDTF">2024-03-31T21:48:00Z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8d2ad2c3743aaeff39d8e50421e7169bbd53cfc58bb64416b519379d55835543</vt:lpwstr>
  </property>
</Properties>
</file>