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 w14:paraId="00000005"/>
    <w:tbl>
      <w:tblPr>
        <w:tblStyle w:val="TableGrid"/>
        <w:tblpPr w:leftFromText="180" w:rightFromText="180" w:vertAnchor="text" w:tblpX="-95" w:tblpY="1"/>
        <w:tblOverlap w:val="never"/>
        <w:tblW w:w="14305" w:type="dxa"/>
        <w:tblLook w:val="04A0"/>
      </w:tblPr>
      <w:tblGrid>
        <w:gridCol w:w="3494"/>
        <w:gridCol w:w="1346"/>
        <w:gridCol w:w="1210"/>
        <w:gridCol w:w="1705"/>
        <w:gridCol w:w="1615"/>
        <w:gridCol w:w="4935"/>
      </w:tblGrid>
      <w:tr>
        <w:trPr/>
        <w:tc>
          <w:tcPr>
            <w:cnfStyle w:val="101000000000"/>
            <w:tcW w:w="3505" w:type="dxa"/>
            <w:shd w:val="clear" w:color="auto" w:fill="808080" w:themeFill="background1" w:themeFillShade="80"/>
            <w:vAlign w:val="center"/>
          </w:tcPr>
          <w:p w14:paraId="00000006">
            <w:pPr>
              <w:ind w:left="180" w:hanging="180"/>
              <w:jc w:val="center"/>
              <w:rPr/>
            </w:pPr>
          </w:p>
        </w:tc>
        <w:tc>
          <w:tcPr>
            <w:cnfStyle w:val="100000000000"/>
            <w:tcW w:w="1350" w:type="dxa"/>
            <w:vAlign w:val="center"/>
          </w:tcPr>
          <w:p w14:paraId="00000007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  <w:r>
              <w:rPr>
                <w:b/>
              </w:rPr>
              <w:t>sponsive to the Component</w:t>
            </w:r>
          </w:p>
        </w:tc>
        <w:tc>
          <w:tcPr>
            <w:cnfStyle w:val="100000000000"/>
            <w:tcW w:w="1170" w:type="dxa"/>
            <w:vAlign w:val="center"/>
          </w:tcPr>
          <w:p w14:paraId="00000008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cnfStyle w:val="100000000000"/>
            <w:tcW w:w="1710" w:type="dxa"/>
            <w:vAlign w:val="center"/>
          </w:tcPr>
          <w:p w14:paraId="000000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cnfStyle w:val="100000000000"/>
            <w:tcW w:w="1620" w:type="dxa"/>
            <w:vAlign w:val="center"/>
          </w:tcPr>
          <w:p w14:paraId="0000000A">
            <w:pPr>
              <w:jc w:val="center"/>
              <w:rPr>
                <w:b/>
              </w:rPr>
            </w:pPr>
            <w:r>
              <w:rPr>
                <w:b/>
              </w:rPr>
              <w:t>Overall</w:t>
            </w:r>
          </w:p>
          <w:p w14:paraId="0000000B">
            <w:pPr>
              <w:jc w:val="center"/>
              <w:rPr>
                <w:b/>
              </w:rPr>
            </w:pPr>
            <w:r>
              <w:rPr>
                <w:b/>
              </w:rPr>
              <w:t>Judgment</w:t>
            </w:r>
          </w:p>
        </w:tc>
        <w:tc>
          <w:tcPr>
            <w:cnfStyle w:val="100000000000"/>
            <w:tcW w:w="4950" w:type="dxa"/>
            <w:vAlign w:val="center"/>
          </w:tcPr>
          <w:p w14:paraId="0000000C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>
        <w:trPr/>
        <w:tc>
          <w:tcPr>
            <w:cnfStyle w:val="001000100000"/>
            <w:tcW w:w="3505" w:type="dxa"/>
          </w:tcPr>
          <w:p w14:paraId="0000000D">
            <w:pPr>
              <w:ind w:left="180" w:hanging="180"/>
              <w:rPr/>
            </w:pPr>
            <w:r>
              <w:t>1. What does the unit do?</w:t>
            </w:r>
          </w:p>
          <w:p w14:paraId="0000000E">
            <w:pPr>
              <w:ind w:left="180" w:hanging="180"/>
              <w:rPr/>
            </w:pPr>
          </w:p>
        </w:tc>
        <w:tc>
          <w:tcPr>
            <w:cnfStyle w:val="000000100000"/>
            <w:tcW w:w="1350" w:type="dxa"/>
          </w:tcPr>
          <w:p w14:paraId="0000000F">
            <w:r>
              <w:t>Acceptable</w:t>
            </w:r>
          </w:p>
        </w:tc>
        <w:tc>
          <w:tcPr>
            <w:cnfStyle w:val="000000100000"/>
            <w:tcW w:w="1170" w:type="dxa"/>
            <w:shd w:val="clear" w:color="auto" w:fill="808080" w:themeFill="background1" w:themeFillShade="80"/>
          </w:tcPr>
          <w:p w14:paraId="00000010"/>
        </w:tc>
        <w:tc>
          <w:tcPr>
            <w:cnfStyle w:val="000000100000"/>
            <w:tcW w:w="1710" w:type="dxa"/>
            <w:shd w:val="clear" w:color="auto" w:fill="808080" w:themeFill="background1" w:themeFillShade="80"/>
          </w:tcPr>
          <w:p w14:paraId="00000011"/>
        </w:tc>
        <w:tc>
          <w:tcPr>
            <w:cnfStyle w:val="000000100000"/>
            <w:tcW w:w="1620" w:type="dxa"/>
          </w:tcPr>
          <w:p w14:paraId="00000012">
            <w:r>
              <w:t>Acceptable</w:t>
            </w:r>
          </w:p>
        </w:tc>
        <w:tc>
          <w:tcPr>
            <w:cnfStyle w:val="000000100000"/>
            <w:tcW w:w="4950" w:type="dxa"/>
          </w:tcPr>
          <w:p w14:paraId="00000013">
            <w:r>
              <w:t>Comprehensive explanation of what the unit does</w:t>
            </w:r>
          </w:p>
        </w:tc>
      </w:tr>
      <w:tr>
        <w:trPr/>
        <w:tc>
          <w:tcPr>
            <w:cnfStyle w:val="001000010000"/>
            <w:tcW w:w="3505" w:type="dxa"/>
          </w:tcPr>
          <w:p w14:paraId="00000014">
            <w:pPr>
              <w:ind w:left="180" w:hanging="180"/>
              <w:rPr/>
            </w:pPr>
            <w:r>
              <w:t xml:space="preserve">2. </w:t>
            </w:r>
            <w:r>
              <w:t>What is t</w:t>
            </w:r>
            <w:r>
              <w:t>he unit’s relationship</w:t>
            </w:r>
            <w:r>
              <w:t xml:space="preserve"> </w:t>
            </w:r>
            <w:r>
              <w:t>to the college mission</w:t>
            </w:r>
            <w:r>
              <w:t xml:space="preserve"> &amp; strategic plan?</w:t>
            </w:r>
          </w:p>
        </w:tc>
        <w:tc>
          <w:tcPr>
            <w:cnfStyle w:val="000000010000"/>
            <w:tcW w:w="1350" w:type="dxa"/>
          </w:tcPr>
          <w:p w14:paraId="00000015">
            <w:r>
              <w:t>Acceptable</w:t>
            </w:r>
          </w:p>
        </w:tc>
        <w:tc>
          <w:tcPr>
            <w:cnfStyle w:val="000000010000"/>
            <w:tcW w:w="1170" w:type="dxa"/>
          </w:tcPr>
          <w:p w14:paraId="00000016">
            <w:r>
              <w:t>Acceptable</w:t>
            </w:r>
          </w:p>
        </w:tc>
        <w:tc>
          <w:tcPr>
            <w:cnfStyle w:val="000000010000"/>
            <w:tcW w:w="1710" w:type="dxa"/>
          </w:tcPr>
          <w:p w14:paraId="00000017">
            <w:r>
              <w:t>Acceptable</w:t>
            </w:r>
          </w:p>
        </w:tc>
        <w:tc>
          <w:tcPr>
            <w:cnfStyle w:val="000000010000"/>
            <w:tcW w:w="1620" w:type="dxa"/>
          </w:tcPr>
          <w:p w14:paraId="00000018">
            <w:r>
              <w:t>Acceptbale</w:t>
            </w:r>
          </w:p>
        </w:tc>
        <w:tc>
          <w:tcPr>
            <w:cnfStyle w:val="000000010000"/>
            <w:tcW w:w="4950" w:type="dxa"/>
          </w:tcPr>
          <w:p w14:paraId="00000019">
            <w:r>
              <w:t>Numerous examples of how the unti relates to the overall college mssion and strategic plan.</w:t>
            </w:r>
          </w:p>
        </w:tc>
      </w:tr>
      <w:tr>
        <w:trPr/>
        <w:tc>
          <w:tcPr>
            <w:cnfStyle w:val="001000100000"/>
            <w:tcW w:w="3505" w:type="dxa"/>
          </w:tcPr>
          <w:p w14:paraId="0000001A">
            <w:pPr>
              <w:ind w:left="180" w:hanging="180"/>
              <w:rPr/>
            </w:pPr>
            <w:r>
              <w:t>3. Why are the unit processes done?</w:t>
            </w:r>
          </w:p>
        </w:tc>
        <w:tc>
          <w:tcPr>
            <w:cnfStyle w:val="000000100000"/>
            <w:tcW w:w="1350" w:type="dxa"/>
          </w:tcPr>
          <w:p w14:paraId="0000001B">
            <w:r>
              <w:t>Acceptable</w:t>
            </w:r>
          </w:p>
        </w:tc>
        <w:tc>
          <w:tcPr>
            <w:cnfStyle w:val="000000100000"/>
            <w:tcW w:w="1170" w:type="dxa"/>
          </w:tcPr>
          <w:p w14:paraId="0000001C">
            <w:r>
              <w:t>Acceptable</w:t>
            </w:r>
          </w:p>
        </w:tc>
        <w:tc>
          <w:tcPr>
            <w:cnfStyle w:val="000000100000"/>
            <w:tcW w:w="1710" w:type="dxa"/>
          </w:tcPr>
          <w:p w14:paraId="0000001D">
            <w:r>
              <w:t>Acceotable</w:t>
            </w:r>
          </w:p>
        </w:tc>
        <w:tc>
          <w:tcPr>
            <w:cnfStyle w:val="000000100000"/>
            <w:tcW w:w="1620" w:type="dxa"/>
          </w:tcPr>
          <w:p w14:paraId="0000001E">
            <w:r>
              <w:t>Acceptable</w:t>
            </w:r>
          </w:p>
        </w:tc>
        <w:tc>
          <w:tcPr>
            <w:cnfStyle w:val="000000100000"/>
            <w:tcW w:w="4950" w:type="dxa"/>
          </w:tcPr>
          <w:p w14:paraId="0000001F">
            <w:r>
              <w:t>Comprehensive explanation of why the unit is important function with data for justification.</w:t>
            </w:r>
          </w:p>
        </w:tc>
      </w:tr>
      <w:tr>
        <w:trPr/>
        <w:tc>
          <w:tcPr>
            <w:cnfStyle w:val="001000010000"/>
            <w:tcW w:w="3505" w:type="dxa"/>
          </w:tcPr>
          <w:p w14:paraId="00000020">
            <w:pPr>
              <w:ind w:left="180" w:hanging="180"/>
              <w:rPr/>
            </w:pPr>
            <w:r>
              <w:t>4. How does the unit impact student outcomes?</w:t>
            </w:r>
          </w:p>
        </w:tc>
        <w:tc>
          <w:tcPr>
            <w:cnfStyle w:val="000000010000"/>
            <w:tcW w:w="1350" w:type="dxa"/>
          </w:tcPr>
          <w:p w14:paraId="00000021">
            <w:r>
              <w:t>Acceptable</w:t>
            </w:r>
          </w:p>
        </w:tc>
        <w:tc>
          <w:tcPr>
            <w:cnfStyle w:val="000000010000"/>
            <w:tcW w:w="1170" w:type="dxa"/>
          </w:tcPr>
          <w:p w14:paraId="00000022">
            <w:r>
              <w:t>acceptable</w:t>
            </w:r>
          </w:p>
        </w:tc>
        <w:tc>
          <w:tcPr>
            <w:cnfStyle w:val="000000010000"/>
            <w:tcW w:w="1710" w:type="dxa"/>
          </w:tcPr>
          <w:p w14:paraId="00000023">
            <w:r>
              <w:t>Acceotable</w:t>
            </w:r>
          </w:p>
        </w:tc>
        <w:tc>
          <w:tcPr>
            <w:cnfStyle w:val="000000010000"/>
            <w:tcW w:w="1620" w:type="dxa"/>
          </w:tcPr>
          <w:p w14:paraId="00000024">
            <w:r>
              <w:t>Acceptable</w:t>
            </w:r>
          </w:p>
        </w:tc>
        <w:tc>
          <w:tcPr>
            <w:cnfStyle w:val="000000010000"/>
            <w:tcW w:w="4950" w:type="dxa"/>
          </w:tcPr>
          <w:p w14:paraId="00000025">
            <w:r>
              <w:t>Examples of how the unti impacts outcomes through data. AA has high student awreness, particiotion, degree audits. Student surveys and Qless data system tracks student involement and impact.</w:t>
            </w:r>
          </w:p>
        </w:tc>
      </w:tr>
      <w:tr>
        <w:trPr/>
        <w:tc>
          <w:tcPr>
            <w:cnfStyle w:val="001000100000"/>
            <w:tcW w:w="3505" w:type="dxa"/>
          </w:tcPr>
          <w:p w14:paraId="00000026">
            <w:pPr>
              <w:ind w:left="180" w:hanging="180"/>
              <w:rPr/>
            </w:pPr>
            <w:r>
              <w:t>5.  How effectively does the unit communicate?</w:t>
            </w:r>
          </w:p>
        </w:tc>
        <w:tc>
          <w:tcPr>
            <w:cnfStyle w:val="000000100000"/>
            <w:tcW w:w="1350" w:type="dxa"/>
            <w:shd w:val="clear" w:color="auto" w:fill="auto"/>
          </w:tcPr>
          <w:p w14:paraId="00000027">
            <w:r>
              <w:t>Acceptable</w:t>
            </w:r>
          </w:p>
        </w:tc>
        <w:tc>
          <w:tcPr>
            <w:cnfStyle w:val="000000100000"/>
            <w:tcW w:w="1170" w:type="dxa"/>
            <w:shd w:val="clear" w:color="auto" w:fill="auto"/>
          </w:tcPr>
          <w:p w14:paraId="00000028">
            <w:r>
              <w:t>acceptable</w:t>
            </w:r>
          </w:p>
        </w:tc>
        <w:tc>
          <w:tcPr>
            <w:cnfStyle w:val="000000100000"/>
            <w:tcW w:w="1710" w:type="dxa"/>
            <w:shd w:val="clear" w:color="auto" w:fill="auto"/>
          </w:tcPr>
          <w:p w14:paraId="00000029">
            <w:r>
              <w:t>Acceptable</w:t>
            </w:r>
          </w:p>
        </w:tc>
        <w:tc>
          <w:tcPr>
            <w:cnfStyle w:val="000000100000"/>
            <w:tcW w:w="1620" w:type="dxa"/>
            <w:shd w:val="clear" w:color="auto" w:fill="auto"/>
          </w:tcPr>
          <w:p w14:paraId="0000002A">
            <w:r>
              <w:t>Acceptable</w:t>
            </w:r>
          </w:p>
        </w:tc>
        <w:tc>
          <w:tcPr>
            <w:cnfStyle w:val="000000100000"/>
            <w:tcW w:w="4950" w:type="dxa"/>
          </w:tcPr>
          <w:p w14:paraId="0000002B">
            <w:r>
              <w:t>Printed literature and websites all current and monitored for updates  by selected AA personnel on a timely basis.Comprehensive listing on table of each form of communication and information provided on each site.</w:t>
            </w:r>
          </w:p>
        </w:tc>
      </w:tr>
      <w:tr>
        <w:trPr/>
        <w:tc>
          <w:tcPr>
            <w:cnfStyle w:val="001000010000"/>
            <w:tcW w:w="3505" w:type="dxa"/>
          </w:tcPr>
          <w:p w14:paraId="0000002C">
            <w:pPr>
              <w:ind w:left="180" w:hanging="180"/>
              <w:rPr/>
            </w:pPr>
            <w:r>
              <w:t xml:space="preserve">6. Does the unit </w:t>
            </w:r>
            <w:r>
              <w:t>build and</w:t>
            </w:r>
            <w:r>
              <w:t xml:space="preserve"> leverage partnership</w:t>
            </w:r>
            <w:r>
              <w:t>s</w:t>
            </w:r>
            <w:r>
              <w:t>?</w:t>
            </w:r>
          </w:p>
        </w:tc>
        <w:tc>
          <w:tcPr>
            <w:cnfStyle w:val="000000010000"/>
            <w:tcW w:w="1350" w:type="dxa"/>
          </w:tcPr>
          <w:p w14:paraId="0000002D">
            <w:r>
              <w:t>Acceptable</w:t>
            </w:r>
          </w:p>
        </w:tc>
        <w:tc>
          <w:tcPr>
            <w:cnfStyle w:val="000000010000"/>
            <w:tcW w:w="1170" w:type="dxa"/>
          </w:tcPr>
          <w:p w14:paraId="0000002E">
            <w:r>
              <w:t>Acceptable</w:t>
            </w:r>
          </w:p>
        </w:tc>
        <w:tc>
          <w:tcPr>
            <w:cnfStyle w:val="000000010000"/>
            <w:tcW w:w="1710" w:type="dxa"/>
          </w:tcPr>
          <w:p w14:paraId="0000002F">
            <w:r>
              <w:t>Acceptable</w:t>
            </w:r>
          </w:p>
        </w:tc>
        <w:tc>
          <w:tcPr>
            <w:cnfStyle w:val="000000010000"/>
            <w:tcW w:w="1620" w:type="dxa"/>
          </w:tcPr>
          <w:p w14:paraId="00000030">
            <w:r>
              <w:t>Acceptable</w:t>
            </w:r>
          </w:p>
        </w:tc>
        <w:tc>
          <w:tcPr>
            <w:cnfStyle w:val="000000010000"/>
            <w:tcW w:w="4950" w:type="dxa"/>
          </w:tcPr>
          <w:p w14:paraId="00000031">
            <w:r>
              <w:t>Numerous partnerships with units within the college and some outside, such as State Farm. Detailed information provided for each artnership.</w:t>
            </w:r>
          </w:p>
        </w:tc>
      </w:tr>
      <w:tr>
        <w:trPr/>
        <w:tc>
          <w:tcPr>
            <w:cnfStyle w:val="001000100000"/>
            <w:tcW w:w="3505" w:type="dxa"/>
          </w:tcPr>
          <w:p w14:paraId="00000032">
            <w:pPr>
              <w:ind w:left="180" w:hanging="180"/>
              <w:rPr/>
            </w:pPr>
            <w:r>
              <w:t xml:space="preserve">7. </w:t>
            </w:r>
            <w:r>
              <w:t>Are staff supported with</w:t>
            </w:r>
            <w:r>
              <w:t xml:space="preserve"> professional development?</w:t>
            </w:r>
          </w:p>
        </w:tc>
        <w:tc>
          <w:tcPr>
            <w:cnfStyle w:val="000000100000"/>
            <w:tcW w:w="1350" w:type="dxa"/>
          </w:tcPr>
          <w:p w14:paraId="00000033">
            <w:r>
              <w:t>Acceptable</w:t>
            </w:r>
          </w:p>
        </w:tc>
        <w:tc>
          <w:tcPr>
            <w:cnfStyle w:val="000000100000"/>
            <w:tcW w:w="1170" w:type="dxa"/>
          </w:tcPr>
          <w:p w14:paraId="00000034">
            <w:r>
              <w:t>Acceptable</w:t>
            </w:r>
          </w:p>
        </w:tc>
        <w:tc>
          <w:tcPr>
            <w:cnfStyle w:val="000000100000"/>
            <w:tcW w:w="1710" w:type="dxa"/>
          </w:tcPr>
          <w:p w14:paraId="00000035">
            <w:r>
              <w:t>Acceptable</w:t>
            </w:r>
          </w:p>
        </w:tc>
        <w:tc>
          <w:tcPr>
            <w:cnfStyle w:val="000000100000"/>
            <w:tcW w:w="1620" w:type="dxa"/>
          </w:tcPr>
          <w:p w14:paraId="00000036">
            <w:r>
              <w:t>Acceptable</w:t>
            </w:r>
          </w:p>
        </w:tc>
        <w:tc>
          <w:tcPr>
            <w:cnfStyle w:val="000000100000"/>
            <w:tcW w:w="4950" w:type="dxa"/>
          </w:tcPr>
          <w:p w14:paraId="00000037">
            <w:r>
              <w:t xml:space="preserve">Numerous opportunities in Prof. Dev. Are taken advantage of through professional organizations, in house collaborations, pers in other colleges. </w:t>
            </w:r>
          </w:p>
        </w:tc>
      </w:tr>
      <w:tr>
        <w:trPr/>
        <w:tc>
          <w:tcPr>
            <w:cnfStyle w:val="001000010000"/>
            <w:tcW w:w="3505" w:type="dxa"/>
          </w:tcPr>
          <w:p w14:paraId="00000038">
            <w:pPr>
              <w:ind w:left="180" w:hanging="180"/>
              <w:rPr/>
            </w:pPr>
            <w:r>
              <w:t xml:space="preserve">8. </w:t>
            </w:r>
            <w:r>
              <w:t xml:space="preserve">[Optional] </w:t>
            </w:r>
            <w:r>
              <w:t xml:space="preserve">Does the unit have sufficient </w:t>
            </w:r>
            <w:r>
              <w:t>facilities and equipment</w:t>
            </w:r>
            <w:r>
              <w:t>?</w:t>
            </w:r>
          </w:p>
        </w:tc>
        <w:tc>
          <w:tcPr>
            <w:cnfStyle w:val="000000010000"/>
            <w:tcW w:w="1350" w:type="dxa"/>
            <w:shd w:val="clear" w:color="auto" w:fill="808080" w:themeFill="background1" w:themeFillShade="80"/>
          </w:tcPr>
          <w:p w14:paraId="00000039"/>
        </w:tc>
        <w:tc>
          <w:tcPr>
            <w:cnfStyle w:val="000000010000"/>
            <w:tcW w:w="1170" w:type="dxa"/>
            <w:shd w:val="clear" w:color="auto" w:fill="808080" w:themeFill="background1" w:themeFillShade="80"/>
          </w:tcPr>
          <w:p w14:paraId="0000003A"/>
        </w:tc>
        <w:tc>
          <w:tcPr>
            <w:cnfStyle w:val="000000010000"/>
            <w:tcW w:w="1710" w:type="dxa"/>
            <w:shd w:val="clear" w:color="auto" w:fill="808080" w:themeFill="background1" w:themeFillShade="80"/>
          </w:tcPr>
          <w:p w14:paraId="0000003B"/>
        </w:tc>
        <w:tc>
          <w:tcPr>
            <w:cnfStyle w:val="000000010000"/>
            <w:tcW w:w="1620" w:type="dxa"/>
            <w:shd w:val="clear" w:color="auto" w:fill="808080" w:themeFill="background1" w:themeFillShade="80"/>
          </w:tcPr>
          <w:p w14:paraId="0000003C"/>
        </w:tc>
        <w:tc>
          <w:tcPr>
            <w:cnfStyle w:val="000000010000"/>
            <w:tcW w:w="4950" w:type="dxa"/>
          </w:tcPr>
          <w:p w14:paraId="0000003D"/>
        </w:tc>
      </w:tr>
      <w:tr>
        <w:trPr/>
        <w:tc>
          <w:tcPr>
            <w:cnfStyle w:val="001000100000"/>
            <w:tcW w:w="3505" w:type="dxa"/>
          </w:tcPr>
          <w:p w14:paraId="0000003E">
            <w:pPr>
              <w:ind w:left="180" w:hanging="180"/>
              <w:rPr/>
            </w:pPr>
            <w:r>
              <w:t xml:space="preserve">9. How have past </w:t>
            </w:r>
            <w:r>
              <w:t xml:space="preserve">CIPs </w:t>
            </w:r>
            <w:r>
              <w:t>contributed to success?</w:t>
            </w:r>
          </w:p>
        </w:tc>
        <w:tc>
          <w:tcPr>
            <w:cnfStyle w:val="000000100000"/>
            <w:tcW w:w="1350" w:type="dxa"/>
          </w:tcPr>
          <w:p w14:paraId="0000003F">
            <w:r>
              <w:t>Acceptable</w:t>
            </w:r>
          </w:p>
        </w:tc>
        <w:tc>
          <w:tcPr>
            <w:cnfStyle w:val="000000100000"/>
            <w:tcW w:w="1170" w:type="dxa"/>
          </w:tcPr>
          <w:p w14:paraId="00000040">
            <w:r>
              <w:t>Acceptable</w:t>
            </w:r>
          </w:p>
        </w:tc>
        <w:tc>
          <w:tcPr>
            <w:cnfStyle w:val="000000100000"/>
            <w:tcW w:w="1710" w:type="dxa"/>
          </w:tcPr>
          <w:p w14:paraId="00000041">
            <w:r>
              <w:t>Acceptable</w:t>
            </w:r>
          </w:p>
        </w:tc>
        <w:tc>
          <w:tcPr>
            <w:cnfStyle w:val="000000100000"/>
            <w:tcW w:w="1620" w:type="dxa"/>
          </w:tcPr>
          <w:p w14:paraId="00000042">
            <w:r>
              <w:t>Acceptable</w:t>
            </w:r>
          </w:p>
        </w:tc>
        <w:tc>
          <w:tcPr>
            <w:cnfStyle w:val="000000100000"/>
            <w:tcW w:w="4950" w:type="dxa"/>
          </w:tcPr>
          <w:p w14:paraId="00000043">
            <w:r>
              <w:t>Clearly explained with evidence. Weakneses and areas of improvemnt identified and plans put into action to accress these.</w:t>
            </w:r>
          </w:p>
        </w:tc>
      </w:tr>
      <w:tr>
        <w:trPr/>
        <w:tc>
          <w:tcPr>
            <w:cnfStyle w:val="001000010000"/>
            <w:tcW w:w="3505" w:type="dxa"/>
          </w:tcPr>
          <w:p w14:paraId="00000044">
            <w:pPr>
              <w:ind w:left="180" w:hanging="180"/>
              <w:rPr/>
            </w:pPr>
            <w:r>
              <w:t>10</w:t>
            </w:r>
            <w:r>
              <w:t xml:space="preserve">. </w:t>
            </w:r>
            <w:r>
              <w:t xml:space="preserve"> How will the unit evaluate its success?</w:t>
            </w:r>
          </w:p>
        </w:tc>
        <w:tc>
          <w:tcPr>
            <w:cnfStyle w:val="000000010000"/>
            <w:tcW w:w="1350" w:type="dxa"/>
          </w:tcPr>
          <w:p w14:paraId="00000045">
            <w:r>
              <w:t>Acceptable</w:t>
            </w:r>
          </w:p>
        </w:tc>
        <w:tc>
          <w:tcPr>
            <w:cnfStyle w:val="000000010000"/>
            <w:tcW w:w="1170" w:type="dxa"/>
          </w:tcPr>
          <w:p w14:paraId="00000046">
            <w:r>
              <w:t>Acceptable</w:t>
            </w:r>
          </w:p>
        </w:tc>
        <w:tc>
          <w:tcPr>
            <w:cnfStyle w:val="000000010000"/>
            <w:tcW w:w="1710" w:type="dxa"/>
          </w:tcPr>
          <w:p w14:paraId="00000047">
            <w:r>
              <w:t>Acceptable</w:t>
            </w:r>
          </w:p>
        </w:tc>
        <w:tc>
          <w:tcPr>
            <w:cnfStyle w:val="000000010000"/>
            <w:tcW w:w="1620" w:type="dxa"/>
          </w:tcPr>
          <w:p w14:paraId="00000048">
            <w:r>
              <w:t>Acceptable</w:t>
            </w:r>
          </w:p>
        </w:tc>
        <w:tc>
          <w:tcPr>
            <w:cnfStyle w:val="000000010000"/>
            <w:tcW w:w="4950" w:type="dxa"/>
          </w:tcPr>
          <w:p w14:paraId="00000049">
            <w:r>
              <w:t>Clearly defines goals and objectives with target numbers and desired outcomes. Available sourced data used. Some targets being exceeded.</w:t>
            </w:r>
          </w:p>
        </w:tc>
      </w:tr>
      <w:tr>
        <w:trPr/>
        <w:tc>
          <w:tcPr>
            <w:cnfStyle w:val="001000100000"/>
            <w:tcW w:w="3505" w:type="dxa"/>
          </w:tcPr>
          <w:p w14:paraId="0000004A">
            <w:pPr>
              <w:ind w:left="180" w:hanging="180"/>
              <w:rPr/>
            </w:pPr>
            <w:r>
              <w:t>11</w:t>
            </w:r>
            <w:r>
              <w:t xml:space="preserve">. </w:t>
            </w:r>
            <w:r>
              <w:t xml:space="preserve">Future </w:t>
            </w:r>
            <w:r>
              <w:t>Continuous Improvement Plan</w:t>
            </w:r>
            <w:r>
              <w:t xml:space="preserve"> Tables</w:t>
            </w:r>
          </w:p>
          <w:p w14:paraId="0000004B">
            <w:pPr>
              <w:ind w:left="180" w:hanging="180"/>
              <w:rPr/>
            </w:pPr>
          </w:p>
        </w:tc>
        <w:tc>
          <w:tcPr>
            <w:cnfStyle w:val="000000100000"/>
            <w:tcW w:w="1350" w:type="dxa"/>
          </w:tcPr>
          <w:p w14:paraId="0000004C">
            <w:r>
              <w:t>Acceptable</w:t>
            </w:r>
          </w:p>
        </w:tc>
        <w:tc>
          <w:tcPr>
            <w:cnfStyle w:val="000000100000"/>
            <w:tcW w:w="1170" w:type="dxa"/>
            <w:shd w:val="clear" w:color="auto" w:fill="808080" w:themeFill="background1" w:themeFillShade="80"/>
          </w:tcPr>
          <w:p w14:paraId="0000004D"/>
        </w:tc>
        <w:tc>
          <w:tcPr>
            <w:cnfStyle w:val="000000100000"/>
            <w:tcW w:w="1710" w:type="dxa"/>
            <w:shd w:val="clear" w:color="auto" w:fill="808080" w:themeFill="background1" w:themeFillShade="80"/>
          </w:tcPr>
          <w:p w14:paraId="0000004E"/>
        </w:tc>
        <w:tc>
          <w:tcPr>
            <w:cnfStyle w:val="000000100000"/>
            <w:tcW w:w="1620" w:type="dxa"/>
          </w:tcPr>
          <w:p w14:paraId="0000004F">
            <w:r>
              <w:t>Acceptable</w:t>
            </w:r>
          </w:p>
        </w:tc>
        <w:tc>
          <w:tcPr>
            <w:cnfStyle w:val="000000100000"/>
            <w:tcW w:w="4950" w:type="dxa"/>
          </w:tcPr>
          <w:p w14:paraId="00000050">
            <w:r>
              <w:t>Collection of data and analysis for expected outcomes to support and measure targets clearly defined.</w:t>
            </w:r>
          </w:p>
        </w:tc>
      </w:tr>
    </w:tbl>
    <w:p w14:paraId="00000051"/>
    <w:p w14:paraId="00000052">
      <w:pPr>
        <w:rPr>
          <w:rFonts w:ascii="Calibri" w:cs="Times New Roman" w:eastAsia="Calibri" w:hAnsi="Calibri"/>
        </w:rPr>
      </w:pPr>
    </w:p>
    <w:p w14:paraId="00000053">
      <w:pPr>
        <w:rPr>
          <w:rFonts w:ascii="Calibri" w:cs="Times New Roman" w:eastAsia="Calibri" w:hAnsi="Calibri"/>
          <w:b/>
          <w:sz w:val="28"/>
          <w:szCs w:val="28"/>
        </w:rPr>
      </w:pPr>
      <w:r>
        <w:rPr>
          <w:rFonts w:ascii="Calibri" w:cs="Times New Roman" w:eastAsia="Calibri" w:hAnsi="Calibri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4" w:space="0"/>
          <w:left w:val="none" w:sz="4" w:space="0"/>
          <w:bottom w:val="none" w:sz="4" w:space="0"/>
          <w:right w:val="none" w:sz="4" w:space="0"/>
          <w:insideH w:val="none" w:sz="4" w:space="0"/>
          <w:insideV w:val="none" w:sz="4" w:space="0"/>
        </w:tblBorders>
        <w:tblLook w:val="04A0"/>
      </w:tblPr>
      <w:tblGrid>
        <w:gridCol w:w="4145"/>
        <w:gridCol w:w="4145"/>
        <w:gridCol w:w="2469"/>
        <w:gridCol w:w="2633"/>
      </w:tblGrid>
      <w:tr>
        <w:trPr>
          <w:trHeight w:val="404"/>
        </w:trPr>
        <w:tc>
          <w:tcPr>
            <w:cnfStyle w:val="101000000000"/>
            <w:tcW w:w="4145" w:type="dxa"/>
          </w:tcPr>
          <w:p w14:paraId="0000005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cs="Times New Roman" w:eastAsia="Calibri" w:hAnsi="Calibri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cs="Times New Roman" w:eastAsia="Calibri" w:hAnsi="Calibri"/>
                <w:sz w:val="24"/>
                <w:szCs w:val="24"/>
                <w:u w:val="single"/>
              </w:rPr>
              <w:t xml:space="preserve"> X   </w:t>
            </w:r>
            <w:r>
              <w:rPr>
                <w:rFonts w:ascii="Calibri" w:cs="Times New Roman" w:eastAsia="Calibri" w:hAnsi="Calibri"/>
                <w:sz w:val="24"/>
                <w:szCs w:val="24"/>
              </w:rPr>
              <w:t xml:space="preserve"> </w:t>
            </w:r>
            <w:r>
              <w:rPr>
                <w:rFonts w:ascii="Calibri" w:cs="Times New Roman" w:eastAsia="Calibri" w:hAnsi="Calibri"/>
                <w:sz w:val="24"/>
                <w:szCs w:val="24"/>
              </w:rPr>
              <w:t>Accepted Without Recommendations</w:t>
            </w:r>
          </w:p>
        </w:tc>
        <w:tc>
          <w:tcPr>
            <w:cnfStyle w:val="100000000000"/>
            <w:tcW w:w="4145" w:type="dxa"/>
          </w:tcPr>
          <w:p w14:paraId="0000005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cs="Times New Roman" w:eastAsia="Calibri" w:hAnsi="Calibri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Calibri" w:cs="Times New Roman" w:eastAsia="Calibri" w:hAnsi="Calibri"/>
                <w:sz w:val="24"/>
                <w:szCs w:val="24"/>
              </w:rPr>
              <w:t xml:space="preserve"> </w:t>
            </w:r>
            <w:r>
              <w:rPr>
                <w:rFonts w:ascii="Calibri" w:cs="Times New Roman" w:eastAsia="Calibri" w:hAnsi="Calibri"/>
                <w:sz w:val="24"/>
                <w:szCs w:val="24"/>
              </w:rPr>
              <w:t xml:space="preserve"> </w:t>
            </w:r>
            <w:r>
              <w:rPr>
                <w:rFonts w:ascii="Calibri" w:cs="Times New Roman" w:eastAsia="Calibri" w:hAnsi="Calibri"/>
                <w:sz w:val="24"/>
                <w:szCs w:val="24"/>
              </w:rPr>
              <w:t xml:space="preserve">Accepted </w:t>
            </w:r>
            <w:r>
              <w:rPr>
                <w:rFonts w:ascii="Calibri" w:cs="Times New Roman" w:eastAsia="Calibri" w:hAnsi="Calibri"/>
                <w:sz w:val="24"/>
                <w:szCs w:val="24"/>
              </w:rPr>
              <w:t>W</w:t>
            </w:r>
            <w:r>
              <w:rPr>
                <w:rFonts w:ascii="Calibri" w:cs="Times New Roman" w:eastAsia="Calibri" w:hAnsi="Calibri"/>
                <w:sz w:val="24"/>
                <w:szCs w:val="24"/>
              </w:rPr>
              <w:t>ith</w:t>
            </w:r>
            <w:r>
              <w:rPr>
                <w:rFonts w:ascii="Calibri" w:cs="Times New Roman" w:eastAsia="Calibri" w:hAnsi="Calibri"/>
                <w:sz w:val="24"/>
                <w:szCs w:val="24"/>
              </w:rPr>
              <w:t xml:space="preserve"> Recommendations</w:t>
            </w:r>
          </w:p>
        </w:tc>
        <w:tc>
          <w:tcPr>
            <w:cnfStyle w:val="100000000000"/>
            <w:tcW w:w="2469" w:type="dxa"/>
          </w:tcPr>
          <w:p w14:paraId="00000056">
            <w:pPr>
              <w:jc w:val="center"/>
              <w:rPr>
                <w:rFonts w:ascii="Calibri" w:cs="Times New Roman" w:eastAsia="Calibri" w:hAnsi="Calibri"/>
                <w:sz w:val="24"/>
                <w:szCs w:val="24"/>
              </w:rPr>
            </w:pPr>
            <w:r>
              <w:rPr>
                <w:rFonts w:ascii="Calibri" w:cs="Times New Roman" w:eastAsia="Calibri" w:hAnsi="Calibri"/>
                <w:sz w:val="24"/>
                <w:szCs w:val="24"/>
                <w:u w:val="single"/>
              </w:rPr>
              <w:t>___</w:t>
            </w:r>
            <w:r>
              <w:rPr>
                <w:rFonts w:ascii="Calibri" w:cs="Times New Roman" w:eastAsia="Calibri" w:hAnsi="Calibri"/>
                <w:sz w:val="24"/>
                <w:szCs w:val="24"/>
              </w:rPr>
              <w:t>Accepted with Required Recommendations</w:t>
            </w:r>
          </w:p>
        </w:tc>
        <w:tc>
          <w:tcPr>
            <w:cnfStyle w:val="100000000000"/>
            <w:tcW w:w="2633" w:type="dxa"/>
          </w:tcPr>
          <w:p w14:paraId="0000005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cs="Times New Roman" w:eastAsia="Calibri" w:hAnsi="Calibri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Calibri" w:cs="Times New Roman" w:eastAsia="Calibri" w:hAnsi="Calibri"/>
                <w:sz w:val="24"/>
                <w:szCs w:val="24"/>
              </w:rPr>
              <w:t xml:space="preserve"> </w:t>
            </w:r>
            <w:r>
              <w:rPr>
                <w:rFonts w:ascii="Calibri" w:cs="Times New Roman" w:eastAsia="Calibri" w:hAnsi="Calibri"/>
                <w:sz w:val="24"/>
                <w:szCs w:val="24"/>
              </w:rPr>
              <w:t>Revisit and Revise</w:t>
            </w:r>
          </w:p>
        </w:tc>
      </w:tr>
    </w:tbl>
    <w:p w14:paraId="00000058">
      <w:pPr>
        <w:jc w:val="center"/>
        <w:rPr/>
      </w:pPr>
    </w:p>
    <w:p w14:paraId="00000059"/>
    <w:p w14:paraId="0000005A">
      <w:pPr>
        <w:rPr>
          <w:b/>
        </w:rPr>
      </w:pPr>
      <w:r>
        <w:rPr>
          <w:b/>
          <w:sz w:val="20"/>
          <w:szCs w:val="20"/>
        </w:rPr>
        <mc:AlternateContent>
          <mc:Choice Requires="wps">
            <w:drawing xmlns:mc="http://schemas.openxmlformats.org/markup-compatibility/2006">
              <wp:anchor allowOverlap="1" behindDoc="0" distT="45720" distB="45720" distL="114300" distR="114300" layoutInCell="1" locked="0" relativeHeight="251659264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8496300" cy="2228850"/>
                <wp:effectExtent l="0" t="0" r="9526" b="9526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217" name="Text Box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4963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 id="0">
                        <w:txbxContent>
                          <w:p w14:paraId="0000005B">
                            <w:r>
                              <w:t>Well done! Overall a clear and detailed explanation in all areas of Academic Advising. All applicable appendices and links are present.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9F272D4-C71D-ED9C-D52B28489AF4" coordsize="21600,21600" style="position:absolute;width:669pt;height:175.5pt;mso-width-percent:0;mso-width-relative:margin;mso-height-percent:0;mso-height-relative:margin;margin-top:18.55pt;margin-left:0pt;mso-wrap-distance-left:9pt;mso-wrap-distance-right:9pt;mso-wrap-distance-top:3.6pt;mso-wrap-distance-bottom:3.6pt;rotation:0.000000;z-index:251659264;" fillcolor="#ffffff" strokecolor="#000000" strokeweight="0.75pt" o:spt="1" path="m0,0 l0,21600 r21600,0 l21600,0 x e">
                <v:stroke color="#000000" filltype="solid" joinstyle="miter" linestyle="single" mitterlimit="800000" weight="0.75pt"/>
                <w10:wrap type="square" side="both"/>
                <v:fill type="solid" color="#ffffff" opacity="1.000000"/>
                <o:lock/>
              </v:shape>
            </w:pict>
          </mc:Fallback>
        </mc:AlternateContent>
      </w:r>
      <w:r>
        <w:rPr>
          <w:b/>
        </w:rPr>
        <w:t>General comments about the submission or rationale for the conclusion:</w:t>
      </w:r>
    </w:p>
    <w:p w14:paraId="0000005C">
      <w:pPr>
        <w:rPr>
          <w:sz w:val="20"/>
          <w:szCs w:val="20"/>
        </w:rPr>
      </w:pPr>
    </w:p>
    <w:p w14:paraId="0000005D"/>
    <w:sectPr>
      <w:headerReference w:type="default" r:id="rId11"/>
      <w:footerReference w:type="default" r:id="rId12"/>
      <w:pgSz w:w="15840" w:h="12240" w:orient="landscape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endnote w:type="separator" w:id="0">
    <w:p w14:paraId="00000003">
      <w:pPr>
        <w:spacing w:after="0" w:line="240" w:lineRule="auto"/>
        <w:rPr/>
      </w:pPr>
      <w:r>
        <w:rPr/>
        <w:separator/>
      </w:r>
    </w:p>
  </w:endnote>
  <w:endnote w:type="continuationSeparator" w:id="1">
    <w:p w14:paraId="00000004"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00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00000000" w:usb1="00000000" w:usb2="00000009" w:usb3="00000000" w:csb0="000001ff" w:csb1="00000000"/>
  </w:font>
  <w:font w:name="Segoe UI">
    <w:panose1 w:val="020b0502040204020203"/>
    <w:charset w:val="00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00000000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p w14:paraId="00000062">
    <w:pPr>
      <w:pStyle w:val="Footer"/>
      <w:rPr/>
    </w:pPr>
    <w:r>
      <w:t>Revision 202</w:t>
    </w:r>
    <w:r>
      <w:t>1</w:t>
    </w:r>
    <w:r>
      <w:t>.</w:t>
    </w:r>
    <w:r>
      <w:t>0</w:t>
    </w:r>
    <w:r>
      <w:t>2</w:t>
    </w:r>
    <w:r>
      <w:t>.</w:t>
    </w:r>
    <w:r>
      <w:t>03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footnote w:type="separator" w:id="0">
    <w:p w14:paraId="00000001">
      <w:pPr>
        <w:spacing w:after="0" w:line="240" w:lineRule="auto"/>
        <w:rPr/>
      </w:pPr>
      <w:r>
        <w:rPr/>
        <w:separator/>
      </w:r>
    </w:p>
  </w:footnote>
  <w:footnote w:type="continuationSeparator" w:id="1">
    <w:p w14:paraId="00000002">
      <w:pPr>
        <w:spacing w:after="0" w:line="240" w:lineRule="auto"/>
        <w:rPr/>
      </w:pPr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p w14:paraId="0000005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drawing xmlns:mc="http://schemas.openxmlformats.org/markup-compatibility/2006">
        <wp:anchor allowOverlap="1" behindDoc="0" distT="0" distB="0" distL="114300" distR="114300" layoutInCell="1" locked="0" relativeHeight="251659265" simplePos="0">
          <wp:simplePos x="0" y="0"/>
          <wp:positionH relativeFrom="column">
            <wp:posOffset>-299720</wp:posOffset>
          </wp:positionH>
          <wp:positionV relativeFrom="paragraph">
            <wp:posOffset>-328295</wp:posOffset>
          </wp:positionV>
          <wp:extent cx="689610" cy="622300"/>
          <wp:effectExtent l="0" t="0" r="0" b="0"/>
          <wp:wrapSquare wrapText="bothSides"/>
          <wp:docPr id="2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961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>U</w:t>
    </w:r>
    <w:r>
      <w:rPr>
        <w:b/>
        <w:sz w:val="24"/>
        <w:szCs w:val="24"/>
      </w:rPr>
      <w:t>NIT</w:t>
    </w:r>
    <w:r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REVIEW </w:t>
    </w:r>
    <w:r>
      <w:rPr>
        <w:b/>
        <w:sz w:val="24"/>
        <w:szCs w:val="24"/>
      </w:rPr>
      <w:t>C</w:t>
    </w:r>
    <w:r>
      <w:rPr>
        <w:b/>
        <w:sz w:val="24"/>
        <w:szCs w:val="24"/>
      </w:rPr>
      <w:t>HECKLIST</w:t>
    </w:r>
  </w:p>
  <w:p w14:paraId="0000005F">
    <w:pPr>
      <w:pStyle w:val="Header"/>
      <w:jc w:val="center"/>
      <w:rPr>
        <w:b/>
        <w:sz w:val="24"/>
        <w:szCs w:val="24"/>
      </w:rPr>
    </w:pPr>
  </w:p>
  <w:p w14:paraId="00000060">
    <w:pPr>
      <w:pStyle w:val="Header"/>
      <w:jc w:val="center"/>
      <w:rPr>
        <w:b/>
        <w:sz w:val="24"/>
        <w:szCs w:val="24"/>
      </w:rPr>
    </w:pPr>
  </w:p>
  <w:p w14:paraId="00000061">
    <w:pPr>
      <w:rPr>
        <w:b/>
      </w:rPr>
    </w:pPr>
    <w:r>
      <w:rPr>
        <w:b/>
      </w:rPr>
      <w:t>Unit</w:t>
    </w:r>
    <w:r>
      <w:rPr>
        <w:b/>
      </w:rPr>
      <w:t xml:space="preserve"> name</w:t>
    </w:r>
    <w:r>
      <w:rPr>
        <w:b/>
      </w:rPr>
      <w:t>: Academic Advising</w:t>
    </w:r>
    <w:r>
      <w:rPr>
        <w:b/>
      </w:rPr>
      <w:t xml:space="preserve">_____________________________________________ </w:t>
    </w:r>
    <w:r>
      <w:rPr>
        <w:b/>
      </w:rPr>
      <w:tab/>
    </w:r>
    <w:r>
      <w:rPr>
        <w:b/>
      </w:rPr>
      <w:tab/>
    </w:r>
    <w:r>
      <w:t xml:space="preserve"> </w:t>
    </w:r>
    <w:r>
      <w:rPr>
        <w:b/>
      </w:rPr>
      <w:t>Reviewer: Tony Airhart___________________</w:t>
    </w:r>
    <w:r>
      <w:rPr>
        <w:b/>
        <w:u w:val="single"/>
      </w:rPr>
      <w:tab/>
    </w:r>
    <w:r>
      <w:rPr>
        <w:b/>
        <w:u w:val="single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lowerLetter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 w:tentative="0">
      <w:start w:val="1"/>
      <w:numFmt w:val="lowerLetter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16"/>
    <w:rsid w:val="0002605E"/>
    <w:rsid w:val="00087C33"/>
    <w:rsid w:val="000C642A"/>
    <w:rsid w:val="000F34DF"/>
    <w:rsid w:val="00116950"/>
    <w:rsid w:val="001F2CFF"/>
    <w:rsid w:val="00261EDF"/>
    <w:rsid w:val="00287D3E"/>
    <w:rsid w:val="002C37C9"/>
    <w:rsid w:val="003078A4"/>
    <w:rsid w:val="00313B9A"/>
    <w:rsid w:val="005E3D1F"/>
    <w:rsid w:val="005F2368"/>
    <w:rsid w:val="00604216"/>
    <w:rsid w:val="006148C6"/>
    <w:rsid w:val="00624FAE"/>
    <w:rsid w:val="00647B52"/>
    <w:rsid w:val="006761AD"/>
    <w:rsid w:val="006819E6"/>
    <w:rsid w:val="006855C6"/>
    <w:rsid w:val="006D169C"/>
    <w:rsid w:val="0075232C"/>
    <w:rsid w:val="00757411"/>
    <w:rsid w:val="00763184"/>
    <w:rsid w:val="00764B05"/>
    <w:rsid w:val="007F64F0"/>
    <w:rsid w:val="00807167"/>
    <w:rsid w:val="008B41CB"/>
    <w:rsid w:val="009A51CC"/>
    <w:rsid w:val="009D2932"/>
    <w:rsid w:val="00A030C9"/>
    <w:rsid w:val="00A40501"/>
    <w:rsid w:val="00A526A4"/>
    <w:rsid w:val="00AD42E8"/>
    <w:rsid w:val="00AF0C97"/>
    <w:rsid w:val="00C13D56"/>
    <w:rsid w:val="00C766EE"/>
    <w:rsid w:val="00CA3289"/>
    <w:rsid w:val="00CD1781"/>
    <w:rsid w:val="00D47C6C"/>
    <w:rsid w:val="00DB0D1F"/>
    <w:rsid w:val="00DB4774"/>
    <w:rsid w:val="00E22EAE"/>
    <w:rsid w:val="00E514A1"/>
    <w:rsid w:val="00E96EC7"/>
    <w:rsid w:val="00F12C87"/>
    <w:rsid w:val="00F22194"/>
    <w:rsid w:val="00F32CB1"/>
    <w:rsid w:val="00F615FE"/>
    <w:rsid w:val="00FA0207"/>
    <w:rsid w:val="00FA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107C1"/>
  <w15:docId w15:val="{E7D826DB-D98E-44D8-93FC-9C1B5C45F667}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paragraph" w:styleId="Heading2">
    <w:name w:val="Heading 2"/>
    <w:basedOn w:val="Normal"/>
    <w:next w:val="Normal"/>
    <w:link w:val="Heading2Char"/>
    <w:uiPriority w:val="9"/>
    <w:unhideWhenUsed w:val="on"/>
    <w:qFormat w:val="on"/>
    <w:pPr>
      <w:keepNext w:val="on"/>
      <w:keepLines w:val="on"/>
      <w:spacing w:before="200" w:after="0"/>
    </w:pPr>
    <w:rPr>
      <w:rFonts w:ascii="Arial" w:cstheme="majorBidi" w:eastAsiaTheme="majorEastAsia" w:hAnsi="Arial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customStyle="1" w:styleId="Heading2Char">
    <w:name w:val="Heading 2 Char"/>
    <w:basedOn w:val="DefaultParagraphFont"/>
    <w:link w:val="Heading2"/>
    <w:uiPriority w:val="9"/>
    <w:rPr>
      <w:rFonts w:ascii="Arial" w:cstheme="majorBidi" w:eastAsiaTheme="majorEastAsia" w:hAnsi="Arial"/>
      <w:b/>
      <w:bCs/>
      <w:color w:val="4f81bd" w:themeColor="accent1"/>
      <w:sz w:val="28"/>
      <w:szCs w:val="26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Header">
    <w:name w:val="Header"/>
    <w:basedOn w:val="Normal"/>
    <w:link w:val="HeaderChar"/>
    <w:uiPriority w:val="99"/>
    <w:unhideWhenUsed w:val="on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1">
    <w:name w:val="Table Grid1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 w:val="on"/>
    <w:unhideWhenUsed w:val="on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 w:val="on"/>
    <w:rPr>
      <w:rFonts w:ascii="Segoe UI" w:cs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theme" Target="theme/theme1.xm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9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Unit Submission Review PRSC Checklist</vt:lpstr>
    </vt:vector>
  </TitlesOfParts>
  <Company>CCCCD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Unit Submission Review PRSC Checklist</dc:title>
  <dc:creator>Institutional Effectiveness</dc:creator>
  <cp:lastModifiedBy>Tony Airhart</cp:lastModifiedBy>
</cp:coreProperties>
</file>