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4272" w14:textId="77777777" w:rsidR="000C642A" w:rsidRPr="0075232C" w:rsidRDefault="000C642A"/>
    <w:tbl>
      <w:tblPr>
        <w:tblStyle w:val="TableGrid"/>
        <w:tblpPr w:leftFromText="180" w:rightFromText="180" w:vertAnchor="text" w:tblpX="-95" w:tblpY="1"/>
        <w:tblOverlap w:val="never"/>
        <w:tblW w:w="14305" w:type="dxa"/>
        <w:tblLook w:val="04A0" w:firstRow="1" w:lastRow="0" w:firstColumn="1" w:lastColumn="0" w:noHBand="0" w:noVBand="1"/>
      </w:tblPr>
      <w:tblGrid>
        <w:gridCol w:w="3401"/>
        <w:gridCol w:w="1347"/>
        <w:gridCol w:w="1381"/>
        <w:gridCol w:w="1685"/>
        <w:gridCol w:w="1596"/>
        <w:gridCol w:w="4895"/>
      </w:tblGrid>
      <w:tr w:rsidR="00313744" w14:paraId="112F1629" w14:textId="77777777" w:rsidTr="00313744">
        <w:trPr>
          <w:tblHeader/>
        </w:trPr>
        <w:tc>
          <w:tcPr>
            <w:tcW w:w="3401" w:type="dxa"/>
            <w:shd w:val="clear" w:color="auto" w:fill="808080" w:themeFill="background1" w:themeFillShade="80"/>
            <w:vAlign w:val="center"/>
          </w:tcPr>
          <w:p w14:paraId="314BD254" w14:textId="77777777" w:rsidR="00F32CB1" w:rsidRDefault="00F32CB1" w:rsidP="00757411">
            <w:pPr>
              <w:ind w:left="180" w:hanging="180"/>
              <w:jc w:val="center"/>
            </w:pPr>
          </w:p>
        </w:tc>
        <w:tc>
          <w:tcPr>
            <w:tcW w:w="1347" w:type="dxa"/>
            <w:vAlign w:val="center"/>
          </w:tcPr>
          <w:p w14:paraId="44D09BDC" w14:textId="77777777" w:rsidR="00F32CB1" w:rsidRPr="00087C33" w:rsidRDefault="00F32CB1" w:rsidP="00757411">
            <w:pPr>
              <w:jc w:val="center"/>
              <w:rPr>
                <w:b/>
              </w:rPr>
            </w:pPr>
            <w:r w:rsidRPr="00087C33">
              <w:rPr>
                <w:b/>
              </w:rPr>
              <w:t>Re</w:t>
            </w:r>
            <w:r>
              <w:rPr>
                <w:b/>
              </w:rPr>
              <w:t>sponsive to the Component</w:t>
            </w:r>
          </w:p>
        </w:tc>
        <w:tc>
          <w:tcPr>
            <w:tcW w:w="1381" w:type="dxa"/>
            <w:vAlign w:val="center"/>
          </w:tcPr>
          <w:p w14:paraId="11F81B5F" w14:textId="77777777" w:rsidR="00F32CB1" w:rsidRPr="00087C33" w:rsidRDefault="00F32CB1" w:rsidP="00757411">
            <w:pPr>
              <w:jc w:val="center"/>
              <w:rPr>
                <w:b/>
              </w:rPr>
            </w:pPr>
            <w:r>
              <w:rPr>
                <w:b/>
              </w:rPr>
              <w:t>Evidence</w:t>
            </w:r>
          </w:p>
        </w:tc>
        <w:tc>
          <w:tcPr>
            <w:tcW w:w="1685" w:type="dxa"/>
            <w:vAlign w:val="center"/>
          </w:tcPr>
          <w:p w14:paraId="763EB3D2" w14:textId="77777777" w:rsidR="00F32CB1" w:rsidRPr="00FA2847" w:rsidRDefault="00F32CB1" w:rsidP="00757411">
            <w:pPr>
              <w:jc w:val="center"/>
              <w:rPr>
                <w:b/>
                <w:sz w:val="20"/>
                <w:szCs w:val="20"/>
              </w:rPr>
            </w:pPr>
            <w:r w:rsidRPr="00FA2847">
              <w:rPr>
                <w:b/>
                <w:sz w:val="20"/>
                <w:szCs w:val="20"/>
              </w:rPr>
              <w:t>Analysis: Explanation/ Rationale of Assertions Supported by Evidence</w:t>
            </w:r>
          </w:p>
        </w:tc>
        <w:tc>
          <w:tcPr>
            <w:tcW w:w="1596" w:type="dxa"/>
            <w:vAlign w:val="center"/>
          </w:tcPr>
          <w:p w14:paraId="5E8574DA" w14:textId="77777777" w:rsidR="00F32CB1" w:rsidRDefault="00F32CB1" w:rsidP="00757411">
            <w:pPr>
              <w:jc w:val="center"/>
              <w:rPr>
                <w:b/>
              </w:rPr>
            </w:pPr>
            <w:r w:rsidRPr="00087C33">
              <w:rPr>
                <w:b/>
              </w:rPr>
              <w:t>Overall</w:t>
            </w:r>
          </w:p>
          <w:p w14:paraId="40E0A8E2" w14:textId="77777777" w:rsidR="00F32CB1" w:rsidRPr="00087C33" w:rsidRDefault="00F32CB1" w:rsidP="00757411">
            <w:pPr>
              <w:jc w:val="center"/>
              <w:rPr>
                <w:b/>
              </w:rPr>
            </w:pPr>
            <w:r w:rsidRPr="00087C33">
              <w:rPr>
                <w:b/>
              </w:rPr>
              <w:t>Judgment</w:t>
            </w:r>
          </w:p>
        </w:tc>
        <w:tc>
          <w:tcPr>
            <w:tcW w:w="4895" w:type="dxa"/>
            <w:vAlign w:val="center"/>
          </w:tcPr>
          <w:p w14:paraId="05BBD034" w14:textId="77777777" w:rsidR="00F32CB1" w:rsidRPr="00087C33" w:rsidRDefault="00F32CB1" w:rsidP="002F47AF">
            <w:pPr>
              <w:spacing w:after="120"/>
              <w:jc w:val="center"/>
              <w:rPr>
                <w:b/>
              </w:rPr>
            </w:pPr>
            <w:r>
              <w:rPr>
                <w:b/>
              </w:rPr>
              <w:t>Comments</w:t>
            </w:r>
          </w:p>
        </w:tc>
      </w:tr>
      <w:tr w:rsidR="00313744" w14:paraId="372D7884" w14:textId="77777777" w:rsidTr="00313744">
        <w:tc>
          <w:tcPr>
            <w:tcW w:w="3401" w:type="dxa"/>
          </w:tcPr>
          <w:p w14:paraId="5671F05F" w14:textId="77777777" w:rsidR="00F32CB1" w:rsidRDefault="00F32CB1" w:rsidP="00757411">
            <w:pPr>
              <w:ind w:left="180" w:hanging="180"/>
            </w:pPr>
            <w:r>
              <w:t>1. What does the unit do?</w:t>
            </w:r>
          </w:p>
          <w:p w14:paraId="6C1F3F4E" w14:textId="77777777" w:rsidR="00F32CB1" w:rsidRDefault="00F32CB1" w:rsidP="00757411">
            <w:pPr>
              <w:ind w:left="180" w:hanging="180"/>
            </w:pPr>
          </w:p>
        </w:tc>
        <w:tc>
          <w:tcPr>
            <w:tcW w:w="1347" w:type="dxa"/>
          </w:tcPr>
          <w:p w14:paraId="05CC8887" w14:textId="36589C15" w:rsidR="00F32CB1" w:rsidRDefault="00DE5C3D" w:rsidP="00757411">
            <w:r>
              <w:t>A</w:t>
            </w:r>
          </w:p>
        </w:tc>
        <w:tc>
          <w:tcPr>
            <w:tcW w:w="1381" w:type="dxa"/>
            <w:shd w:val="clear" w:color="auto" w:fill="808080" w:themeFill="background1" w:themeFillShade="80"/>
          </w:tcPr>
          <w:p w14:paraId="129E59D2" w14:textId="77777777" w:rsidR="00F32CB1" w:rsidRDefault="00F32CB1" w:rsidP="00757411"/>
        </w:tc>
        <w:tc>
          <w:tcPr>
            <w:tcW w:w="1685" w:type="dxa"/>
            <w:shd w:val="clear" w:color="auto" w:fill="808080" w:themeFill="background1" w:themeFillShade="80"/>
          </w:tcPr>
          <w:p w14:paraId="5FE8784C" w14:textId="77777777" w:rsidR="00F32CB1" w:rsidRDefault="00F32CB1" w:rsidP="00757411"/>
        </w:tc>
        <w:tc>
          <w:tcPr>
            <w:tcW w:w="1596" w:type="dxa"/>
          </w:tcPr>
          <w:p w14:paraId="745BDF7C" w14:textId="0068AD58" w:rsidR="00F32CB1" w:rsidRDefault="00DE5C3D" w:rsidP="00757411">
            <w:r w:rsidRPr="00DE5C3D">
              <w:t>A</w:t>
            </w:r>
          </w:p>
        </w:tc>
        <w:tc>
          <w:tcPr>
            <w:tcW w:w="4895" w:type="dxa"/>
          </w:tcPr>
          <w:p w14:paraId="03999D20" w14:textId="131E5D6B" w:rsidR="00F32CB1" w:rsidRDefault="00DE5C3D" w:rsidP="002F47AF">
            <w:pPr>
              <w:spacing w:after="120"/>
            </w:pPr>
            <w:r>
              <w:t>Addressed each element of query</w:t>
            </w:r>
          </w:p>
        </w:tc>
      </w:tr>
      <w:tr w:rsidR="00313744" w14:paraId="27EFDD89" w14:textId="77777777" w:rsidTr="00313744">
        <w:tc>
          <w:tcPr>
            <w:tcW w:w="3401" w:type="dxa"/>
          </w:tcPr>
          <w:p w14:paraId="66753A04" w14:textId="77777777" w:rsidR="00F32CB1" w:rsidRDefault="00F32CB1" w:rsidP="006855C6">
            <w:pPr>
              <w:ind w:left="180" w:hanging="180"/>
            </w:pPr>
            <w:r>
              <w:t xml:space="preserve">2. </w:t>
            </w:r>
            <w:r w:rsidR="005F2368">
              <w:t>What is t</w:t>
            </w:r>
            <w:r>
              <w:t>he unit’s relationship</w:t>
            </w:r>
            <w:r w:rsidRPr="00604216">
              <w:t xml:space="preserve"> </w:t>
            </w:r>
            <w:r>
              <w:t>to the college mission</w:t>
            </w:r>
            <w:r w:rsidR="005F2368">
              <w:t xml:space="preserve"> &amp; strategic plan?</w:t>
            </w:r>
          </w:p>
        </w:tc>
        <w:tc>
          <w:tcPr>
            <w:tcW w:w="1347" w:type="dxa"/>
          </w:tcPr>
          <w:p w14:paraId="3A3F9208" w14:textId="40A2886D" w:rsidR="00E012A7" w:rsidRDefault="004B4D58" w:rsidP="00757411">
            <w:r>
              <w:t>AWR</w:t>
            </w:r>
          </w:p>
        </w:tc>
        <w:tc>
          <w:tcPr>
            <w:tcW w:w="1381" w:type="dxa"/>
          </w:tcPr>
          <w:p w14:paraId="33D209EF" w14:textId="20BF5469" w:rsidR="00F32CB1" w:rsidRDefault="004B4D58" w:rsidP="00757411">
            <w:r w:rsidRPr="004B4D58">
              <w:t>AWR</w:t>
            </w:r>
          </w:p>
        </w:tc>
        <w:tc>
          <w:tcPr>
            <w:tcW w:w="1685" w:type="dxa"/>
          </w:tcPr>
          <w:p w14:paraId="1BD3E52D" w14:textId="2FEF9838" w:rsidR="00F32CB1" w:rsidRDefault="004B4D58" w:rsidP="00757411">
            <w:r w:rsidRPr="004B4D58">
              <w:t>AWR</w:t>
            </w:r>
          </w:p>
        </w:tc>
        <w:tc>
          <w:tcPr>
            <w:tcW w:w="1596" w:type="dxa"/>
          </w:tcPr>
          <w:p w14:paraId="2B0BB089" w14:textId="1646A625" w:rsidR="00F32CB1" w:rsidRDefault="004B4D58" w:rsidP="00757411">
            <w:r w:rsidRPr="004B4D58">
              <w:t>AWR</w:t>
            </w:r>
          </w:p>
        </w:tc>
        <w:tc>
          <w:tcPr>
            <w:tcW w:w="4895" w:type="dxa"/>
          </w:tcPr>
          <w:p w14:paraId="09C2435B" w14:textId="1039E9AC" w:rsidR="00E012A7" w:rsidRDefault="00E012A7" w:rsidP="002F47AF">
            <w:pPr>
              <w:spacing w:after="120"/>
            </w:pPr>
            <w:r>
              <w:t>Recommendations</w:t>
            </w:r>
          </w:p>
          <w:p w14:paraId="771F54D0" w14:textId="5F52E258" w:rsidR="00F32CB1" w:rsidRDefault="00DE5C3D" w:rsidP="002F47AF">
            <w:pPr>
              <w:pStyle w:val="ListParagraph"/>
              <w:numPr>
                <w:ilvl w:val="0"/>
                <w:numId w:val="5"/>
              </w:numPr>
              <w:spacing w:after="120"/>
              <w:contextualSpacing w:val="0"/>
            </w:pPr>
            <w:proofErr w:type="gramStart"/>
            <w:r>
              <w:t>With regard to</w:t>
            </w:r>
            <w:proofErr w:type="gramEnd"/>
            <w:r>
              <w:t xml:space="preserve"> mission (2A as Unit refers to it):</w:t>
            </w:r>
            <w:r w:rsidR="00E012A7">
              <w:t xml:space="preserve"> </w:t>
            </w:r>
            <w:r>
              <w:t xml:space="preserve"> </w:t>
            </w:r>
            <w:r w:rsidRPr="00DE5C3D">
              <w:t>directly state that its connection to mission statement centers on institution being community-centered (through its efforts in heightening awareness of college and college activities in geographic region and of college’s role in serving academic and workforce education needs of geographic region).</w:t>
            </w:r>
          </w:p>
          <w:p w14:paraId="1646E5BC" w14:textId="333BE406" w:rsidR="00E012A7" w:rsidRDefault="00E012A7" w:rsidP="002F47AF">
            <w:pPr>
              <w:pStyle w:val="ListParagraph"/>
              <w:numPr>
                <w:ilvl w:val="0"/>
                <w:numId w:val="5"/>
              </w:numPr>
              <w:spacing w:after="120"/>
              <w:contextualSpacing w:val="0"/>
            </w:pPr>
            <w:r>
              <w:t xml:space="preserve">With regard to strategic plan (2B </w:t>
            </w:r>
            <w:r w:rsidRPr="00E012A7">
              <w:t xml:space="preserve">as Unit refers to it):  </w:t>
            </w:r>
          </w:p>
          <w:p w14:paraId="1BA79A2A" w14:textId="17016010" w:rsidR="00C709D8" w:rsidRDefault="00C709D8" w:rsidP="002F47AF">
            <w:pPr>
              <w:spacing w:after="120"/>
              <w:ind w:left="360"/>
            </w:pPr>
            <w:r>
              <w:t xml:space="preserve">NOTE: If no data available to demonstrate Unit’s </w:t>
            </w:r>
            <w:r w:rsidRPr="0089586E">
              <w:rPr>
                <w:i/>
                <w:iCs/>
              </w:rPr>
              <w:t>direct</w:t>
            </w:r>
            <w:r>
              <w:t xml:space="preserve"> impact on</w:t>
            </w:r>
            <w:r w:rsidRPr="0089586E">
              <w:t xml:space="preserve"> </w:t>
            </w:r>
            <w:r>
              <w:t xml:space="preserve">strategic plan goals #1 and #3, then suggest Unit delete mention of these two </w:t>
            </w:r>
            <w:r w:rsidRPr="00C709D8">
              <w:t xml:space="preserve">strategic plan goals </w:t>
            </w:r>
            <w:r>
              <w:t>altogether.</w:t>
            </w:r>
          </w:p>
          <w:p w14:paraId="03511438" w14:textId="77777777" w:rsidR="00E012A7" w:rsidRDefault="00E012A7" w:rsidP="002F47AF">
            <w:pPr>
              <w:pStyle w:val="ListParagraph"/>
              <w:numPr>
                <w:ilvl w:val="1"/>
                <w:numId w:val="6"/>
              </w:numPr>
              <w:spacing w:after="120"/>
              <w:ind w:left="720"/>
              <w:contextualSpacing w:val="0"/>
            </w:pPr>
            <w:r>
              <w:t xml:space="preserve">Provide </w:t>
            </w:r>
            <w:r w:rsidRPr="003F2C3B">
              <w:t xml:space="preserve">quantitative or qualitative data to demonstrate </w:t>
            </w:r>
            <w:r w:rsidRPr="003F2C3B">
              <w:rPr>
                <w:i/>
                <w:iCs/>
              </w:rPr>
              <w:t>direct</w:t>
            </w:r>
            <w:r w:rsidRPr="003F2C3B">
              <w:t xml:space="preserve"> impact</w:t>
            </w:r>
            <w:r>
              <w:t xml:space="preserve"> of Unit regarding:</w:t>
            </w:r>
          </w:p>
          <w:p w14:paraId="58814FD4" w14:textId="77777777" w:rsidR="00E012A7" w:rsidRDefault="00E012A7" w:rsidP="002F47AF">
            <w:pPr>
              <w:pStyle w:val="ListParagraph"/>
              <w:numPr>
                <w:ilvl w:val="2"/>
                <w:numId w:val="6"/>
              </w:numPr>
              <w:spacing w:after="120"/>
              <w:ind w:left="1080"/>
              <w:contextualSpacing w:val="0"/>
            </w:pPr>
            <w:r>
              <w:t>strategic plan goal #1</w:t>
            </w:r>
            <w:r w:rsidRPr="003F2C3B">
              <w:t xml:space="preserve"> </w:t>
            </w:r>
            <w:r>
              <w:t>so-called proposed measures</w:t>
            </w:r>
          </w:p>
          <w:p w14:paraId="73E06DA7" w14:textId="77777777" w:rsidR="00E012A7" w:rsidRDefault="00E012A7" w:rsidP="002F47AF">
            <w:pPr>
              <w:pStyle w:val="ListParagraph"/>
              <w:numPr>
                <w:ilvl w:val="3"/>
                <w:numId w:val="6"/>
              </w:numPr>
              <w:spacing w:after="120"/>
              <w:ind w:left="1440"/>
              <w:contextualSpacing w:val="0"/>
            </w:pPr>
            <w:r>
              <w:lastRenderedPageBreak/>
              <w:t>A. six-year completion rate</w:t>
            </w:r>
          </w:p>
          <w:p w14:paraId="03DB9742" w14:textId="77777777" w:rsidR="00E012A7" w:rsidRDefault="00E012A7" w:rsidP="002F47AF">
            <w:pPr>
              <w:pStyle w:val="ListParagraph"/>
              <w:numPr>
                <w:ilvl w:val="3"/>
                <w:numId w:val="6"/>
              </w:numPr>
              <w:spacing w:after="120"/>
              <w:ind w:left="1440"/>
              <w:contextualSpacing w:val="0"/>
            </w:pPr>
            <w:r>
              <w:t>C. fall-to-fall persistence rate</w:t>
            </w:r>
          </w:p>
          <w:p w14:paraId="1A466E8F" w14:textId="77777777" w:rsidR="00E012A7" w:rsidRDefault="00E012A7" w:rsidP="002F47AF">
            <w:pPr>
              <w:pStyle w:val="ListParagraph"/>
              <w:numPr>
                <w:ilvl w:val="3"/>
                <w:numId w:val="6"/>
              </w:numPr>
              <w:spacing w:after="120"/>
              <w:ind w:left="1440"/>
              <w:contextualSpacing w:val="0"/>
            </w:pPr>
            <w:r>
              <w:t>E. 60x30TX program completions</w:t>
            </w:r>
          </w:p>
          <w:p w14:paraId="1B0C248A" w14:textId="77777777" w:rsidR="00E012A7" w:rsidRDefault="00E012A7" w:rsidP="002F47AF">
            <w:pPr>
              <w:pStyle w:val="ListParagraph"/>
              <w:numPr>
                <w:ilvl w:val="2"/>
                <w:numId w:val="6"/>
              </w:numPr>
              <w:spacing w:after="120"/>
              <w:ind w:left="1080"/>
              <w:contextualSpacing w:val="0"/>
            </w:pPr>
            <w:r>
              <w:t>strategic plan goal #3</w:t>
            </w:r>
            <w:r w:rsidRPr="003F2C3B">
              <w:t xml:space="preserve"> </w:t>
            </w:r>
            <w:r>
              <w:t>so-called proposed measure</w:t>
            </w:r>
          </w:p>
          <w:p w14:paraId="3BE28BA3" w14:textId="77777777" w:rsidR="00E012A7" w:rsidRDefault="00E012A7" w:rsidP="002F47AF">
            <w:pPr>
              <w:pStyle w:val="ListParagraph"/>
              <w:numPr>
                <w:ilvl w:val="3"/>
                <w:numId w:val="6"/>
              </w:numPr>
              <w:spacing w:after="120"/>
              <w:ind w:left="1440"/>
              <w:contextualSpacing w:val="0"/>
            </w:pPr>
            <w:r>
              <w:t xml:space="preserve"> A. “</w:t>
            </w:r>
            <w:r w:rsidRPr="00CA5604">
              <w:t>Key transitions into and from Collin College are reviewed to ensure quality and currency</w:t>
            </w:r>
            <w:r>
              <w:t>”</w:t>
            </w:r>
          </w:p>
          <w:p w14:paraId="7BB8AC36" w14:textId="77777777" w:rsidR="00E012A7" w:rsidRDefault="00E012A7" w:rsidP="002F47AF">
            <w:pPr>
              <w:pStyle w:val="ListParagraph"/>
              <w:numPr>
                <w:ilvl w:val="1"/>
                <w:numId w:val="6"/>
              </w:numPr>
              <w:spacing w:after="120"/>
              <w:ind w:left="720"/>
              <w:contextualSpacing w:val="0"/>
            </w:pPr>
            <w:r>
              <w:t>In reference to strategic plan goal #6, clearly state:</w:t>
            </w:r>
          </w:p>
          <w:p w14:paraId="76B38355" w14:textId="77777777" w:rsidR="00E012A7" w:rsidRDefault="00E012A7" w:rsidP="002F47AF">
            <w:pPr>
              <w:pStyle w:val="ListParagraph"/>
              <w:numPr>
                <w:ilvl w:val="2"/>
                <w:numId w:val="6"/>
              </w:numPr>
              <w:spacing w:after="120"/>
              <w:ind w:left="1080"/>
              <w:contextualSpacing w:val="0"/>
            </w:pPr>
            <w:r>
              <w:t xml:space="preserve">So-called proposed measures (i.e., A. clearly articulated definitions, B. total number of engaged stakeholders, C.  </w:t>
            </w:r>
            <w:r w:rsidRPr="00B41376">
              <w:t>total number</w:t>
            </w:r>
            <w:r>
              <w:t>s</w:t>
            </w:r>
            <w:r w:rsidRPr="00B41376">
              <w:t xml:space="preserve"> of engaged stakeholders </w:t>
            </w:r>
            <w:r>
              <w:t>broken out by key groups, D. specify implementation of software tool or stage of identification/implementation of such tool)</w:t>
            </w:r>
          </w:p>
          <w:p w14:paraId="7A8052A8" w14:textId="49AF4FC0" w:rsidR="00E012A7" w:rsidRDefault="00E012A7" w:rsidP="002F47AF">
            <w:pPr>
              <w:pStyle w:val="ListParagraph"/>
              <w:numPr>
                <w:ilvl w:val="2"/>
                <w:numId w:val="6"/>
              </w:numPr>
              <w:spacing w:after="120"/>
              <w:ind w:left="1080"/>
              <w:contextualSpacing w:val="0"/>
            </w:pPr>
            <w:r>
              <w:t>Measurement data for each</w:t>
            </w:r>
            <w:r w:rsidRPr="003F2C3B">
              <w:t xml:space="preserve"> so-called proposed measure</w:t>
            </w:r>
            <w:r>
              <w:t xml:space="preserve"> listed for goal #6</w:t>
            </w:r>
          </w:p>
        </w:tc>
      </w:tr>
      <w:tr w:rsidR="00313744" w14:paraId="55EA48B4" w14:textId="77777777" w:rsidTr="00313744">
        <w:tc>
          <w:tcPr>
            <w:tcW w:w="3401" w:type="dxa"/>
          </w:tcPr>
          <w:p w14:paraId="381296D4" w14:textId="77777777" w:rsidR="00313744" w:rsidRDefault="00313744" w:rsidP="00313744">
            <w:pPr>
              <w:ind w:left="180" w:hanging="180"/>
            </w:pPr>
            <w:r>
              <w:lastRenderedPageBreak/>
              <w:t>3. Why are the unit processes done?</w:t>
            </w:r>
          </w:p>
        </w:tc>
        <w:tc>
          <w:tcPr>
            <w:tcW w:w="1347" w:type="dxa"/>
          </w:tcPr>
          <w:p w14:paraId="3C31167C" w14:textId="53DBFD7D" w:rsidR="00313744" w:rsidRDefault="00313744" w:rsidP="00313744">
            <w:r>
              <w:t>AWR</w:t>
            </w:r>
          </w:p>
        </w:tc>
        <w:tc>
          <w:tcPr>
            <w:tcW w:w="1381" w:type="dxa"/>
          </w:tcPr>
          <w:p w14:paraId="42387A39" w14:textId="26D13C1F" w:rsidR="00313744" w:rsidRPr="00313744" w:rsidRDefault="004B4D58" w:rsidP="00313744">
            <w:pPr>
              <w:rPr>
                <w:sz w:val="20"/>
                <w:szCs w:val="20"/>
              </w:rPr>
            </w:pPr>
            <w:r>
              <w:t>AWR</w:t>
            </w:r>
            <w:r w:rsidRPr="00313744">
              <w:rPr>
                <w:sz w:val="20"/>
                <w:szCs w:val="20"/>
              </w:rPr>
              <w:t xml:space="preserve"> </w:t>
            </w:r>
          </w:p>
        </w:tc>
        <w:tc>
          <w:tcPr>
            <w:tcW w:w="1685" w:type="dxa"/>
          </w:tcPr>
          <w:p w14:paraId="0BB5BB1F" w14:textId="6AED6DA5" w:rsidR="00313744" w:rsidRDefault="004B4D58" w:rsidP="00313744">
            <w:r>
              <w:t>AWR</w:t>
            </w:r>
          </w:p>
        </w:tc>
        <w:tc>
          <w:tcPr>
            <w:tcW w:w="1596" w:type="dxa"/>
          </w:tcPr>
          <w:p w14:paraId="55D842A4" w14:textId="5C8B747C" w:rsidR="00313744" w:rsidRDefault="004B4D58" w:rsidP="00313744">
            <w:r>
              <w:t>AWR</w:t>
            </w:r>
          </w:p>
        </w:tc>
        <w:tc>
          <w:tcPr>
            <w:tcW w:w="4895" w:type="dxa"/>
          </w:tcPr>
          <w:p w14:paraId="67AF4F5C" w14:textId="77777777" w:rsidR="00313744" w:rsidRPr="00665BEB" w:rsidRDefault="00313744" w:rsidP="002F47AF">
            <w:pPr>
              <w:numPr>
                <w:ilvl w:val="0"/>
                <w:numId w:val="7"/>
              </w:numPr>
              <w:spacing w:after="120"/>
              <w:rPr>
                <w:rFonts w:ascii="Calibri" w:eastAsia="Calibri" w:hAnsi="Calibri" w:cs="Times New Roman"/>
                <w:kern w:val="2"/>
                <w14:ligatures w14:val="standardContextual"/>
              </w:rPr>
            </w:pPr>
            <w:r w:rsidRPr="00665BEB">
              <w:rPr>
                <w:rFonts w:ascii="Calibri" w:eastAsia="Calibri" w:hAnsi="Calibri" w:cs="Times New Roman"/>
                <w:kern w:val="2"/>
                <w14:ligatures w14:val="standardContextual"/>
              </w:rPr>
              <w:t>Recommendations</w:t>
            </w:r>
          </w:p>
          <w:p w14:paraId="4B8465B2" w14:textId="77777777" w:rsidR="00313744" w:rsidRPr="00665BEB" w:rsidRDefault="00313744" w:rsidP="002F47AF">
            <w:pPr>
              <w:numPr>
                <w:ilvl w:val="1"/>
                <w:numId w:val="7"/>
              </w:numPr>
              <w:spacing w:after="120"/>
              <w:ind w:left="720"/>
              <w:rPr>
                <w:rFonts w:ascii="Calibri" w:eastAsia="Calibri" w:hAnsi="Calibri" w:cs="Times New Roman"/>
                <w:kern w:val="2"/>
                <w14:ligatures w14:val="standardContextual"/>
              </w:rPr>
            </w:pPr>
            <w:r w:rsidRPr="00665BEB">
              <w:rPr>
                <w:rFonts w:ascii="Calibri" w:eastAsia="Calibri" w:hAnsi="Calibri" w:cs="Times New Roman"/>
                <w:kern w:val="2"/>
                <w14:ligatures w14:val="standardContextual"/>
              </w:rPr>
              <w:t xml:space="preserve">Reorganize this section (i.e., 3. Why Do We Do the Things We Do?) to separate </w:t>
            </w:r>
            <w:r w:rsidRPr="00665BEB">
              <w:rPr>
                <w:rFonts w:ascii="Calibri" w:eastAsia="Calibri" w:hAnsi="Calibri" w:cs="Times New Roman"/>
                <w:i/>
                <w:iCs/>
                <w:kern w:val="2"/>
                <w14:ligatures w14:val="standardContextual"/>
              </w:rPr>
              <w:t>external</w:t>
            </w:r>
            <w:r w:rsidRPr="00665BEB">
              <w:rPr>
                <w:rFonts w:ascii="Calibri" w:eastAsia="Calibri" w:hAnsi="Calibri" w:cs="Times New Roman"/>
                <w:kern w:val="2"/>
                <w14:ligatures w14:val="standardContextual"/>
              </w:rPr>
              <w:t xml:space="preserve">-focused functions/services from </w:t>
            </w:r>
            <w:r w:rsidRPr="00665BEB">
              <w:rPr>
                <w:rFonts w:ascii="Calibri" w:eastAsia="Calibri" w:hAnsi="Calibri" w:cs="Times New Roman"/>
                <w:i/>
                <w:iCs/>
                <w:kern w:val="2"/>
                <w14:ligatures w14:val="standardContextual"/>
              </w:rPr>
              <w:t>internal</w:t>
            </w:r>
            <w:r w:rsidRPr="00665BEB">
              <w:rPr>
                <w:rFonts w:ascii="Calibri" w:eastAsia="Calibri" w:hAnsi="Calibri" w:cs="Times New Roman"/>
                <w:kern w:val="2"/>
                <w14:ligatures w14:val="standardContextual"/>
              </w:rPr>
              <w:t>-</w:t>
            </w:r>
            <w:r w:rsidRPr="00665BEB">
              <w:rPr>
                <w:rFonts w:ascii="Calibri" w:eastAsia="Calibri" w:hAnsi="Calibri" w:cs="Times New Roman"/>
                <w:kern w:val="2"/>
                <w14:ligatures w14:val="standardContextual"/>
              </w:rPr>
              <w:lastRenderedPageBreak/>
              <w:t>focused functions/services, fully addressing all aspects of this section for each.</w:t>
            </w:r>
          </w:p>
          <w:p w14:paraId="313E3F5F" w14:textId="23D44F9A" w:rsidR="00313744" w:rsidRPr="00665BEB" w:rsidRDefault="00313744" w:rsidP="002F47AF">
            <w:pPr>
              <w:numPr>
                <w:ilvl w:val="1"/>
                <w:numId w:val="7"/>
              </w:numPr>
              <w:spacing w:after="120"/>
              <w:ind w:left="720"/>
              <w:rPr>
                <w:rFonts w:ascii="Calibri" w:eastAsia="Calibri" w:hAnsi="Calibri" w:cs="Times New Roman"/>
                <w:kern w:val="2"/>
                <w14:ligatures w14:val="standardContextual"/>
              </w:rPr>
            </w:pPr>
            <w:r w:rsidRPr="00665BEB">
              <w:rPr>
                <w:rFonts w:ascii="Calibri" w:eastAsia="Calibri" w:hAnsi="Calibri" w:cs="Times New Roman"/>
                <w:kern w:val="2"/>
                <w14:ligatures w14:val="standardContextual"/>
              </w:rPr>
              <w:t>At outset on p. 13, emphasize that, apart from College President, Unit is the official initiator of communication about the College to any/all external audiences, manages the College’s brand and public voice/image</w:t>
            </w:r>
            <w:r>
              <w:rPr>
                <w:rFonts w:ascii="Calibri" w:eastAsia="Calibri" w:hAnsi="Calibri" w:cs="Times New Roman"/>
                <w:kern w:val="2"/>
                <w14:ligatures w14:val="standardContextual"/>
              </w:rPr>
              <w:t xml:space="preserve"> (including role of ensuring quality and consistency of Collin’s public voice/image with internal-client-issued communications)</w:t>
            </w:r>
            <w:r w:rsidRPr="00665BEB">
              <w:rPr>
                <w:rFonts w:ascii="Calibri" w:eastAsia="Calibri" w:hAnsi="Calibri" w:cs="Times New Roman"/>
                <w:kern w:val="2"/>
                <w14:ligatures w14:val="standardContextual"/>
              </w:rPr>
              <w:t>, and responds to media and public information requests to the College.</w:t>
            </w:r>
          </w:p>
          <w:p w14:paraId="3C11F3F5" w14:textId="77777777" w:rsidR="00313744" w:rsidRPr="00665BEB" w:rsidRDefault="00313744" w:rsidP="002F47AF">
            <w:pPr>
              <w:numPr>
                <w:ilvl w:val="1"/>
                <w:numId w:val="7"/>
              </w:numPr>
              <w:spacing w:after="120"/>
              <w:ind w:left="720"/>
              <w:rPr>
                <w:rFonts w:ascii="Calibri" w:eastAsia="Calibri" w:hAnsi="Calibri" w:cs="Times New Roman"/>
                <w:kern w:val="2"/>
                <w14:ligatures w14:val="standardContextual"/>
              </w:rPr>
            </w:pPr>
            <w:r w:rsidRPr="00665BEB">
              <w:rPr>
                <w:rFonts w:ascii="Calibri" w:eastAsia="Calibri" w:hAnsi="Calibri" w:cs="Times New Roman"/>
                <w:kern w:val="2"/>
                <w14:ligatures w14:val="standardContextual"/>
              </w:rPr>
              <w:t>Either describe in text the importance of data within graphics of pageviews on p. 14-15 as necessary to a primary function and reduce size of graphics OR delete graphics of pageviews altogether.</w:t>
            </w:r>
          </w:p>
          <w:p w14:paraId="17C8CCAE" w14:textId="77777777" w:rsidR="00313744" w:rsidRPr="00665BEB" w:rsidRDefault="00313744" w:rsidP="002F47AF">
            <w:pPr>
              <w:numPr>
                <w:ilvl w:val="2"/>
                <w:numId w:val="7"/>
              </w:numPr>
              <w:spacing w:after="120"/>
              <w:ind w:left="907" w:hanging="187"/>
              <w:rPr>
                <w:rFonts w:ascii="Calibri" w:eastAsia="Calibri" w:hAnsi="Calibri" w:cs="Times New Roman"/>
                <w:kern w:val="2"/>
                <w14:ligatures w14:val="standardContextual"/>
              </w:rPr>
            </w:pPr>
            <w:r w:rsidRPr="00665BEB">
              <w:rPr>
                <w:rFonts w:ascii="Calibri" w:eastAsia="Calibri" w:hAnsi="Calibri" w:cs="Times New Roman"/>
                <w:kern w:val="2"/>
                <w14:ligatures w14:val="standardContextual"/>
              </w:rPr>
              <w:t>NOTE: Graphic on p. 15 reveals inaccuracy/inadequacy of statement on p.14, “Traffic on the college’s website, www.collin.edu, has grown continually along with the college;” unique pageviews dropped after 2019-2020 and have not (yet) returned to 2019-2020 number.</w:t>
            </w:r>
          </w:p>
          <w:p w14:paraId="0D60FE6A" w14:textId="77777777" w:rsidR="00313744" w:rsidRPr="00665BEB" w:rsidRDefault="00313744" w:rsidP="002F47AF">
            <w:pPr>
              <w:numPr>
                <w:ilvl w:val="1"/>
                <w:numId w:val="7"/>
              </w:numPr>
              <w:spacing w:after="120"/>
              <w:ind w:left="720"/>
              <w:rPr>
                <w:rFonts w:ascii="Calibri" w:eastAsia="Calibri" w:hAnsi="Calibri" w:cs="Times New Roman"/>
                <w:kern w:val="2"/>
                <w14:ligatures w14:val="standardContextual"/>
              </w:rPr>
            </w:pPr>
            <w:r w:rsidRPr="00665BEB">
              <w:rPr>
                <w:rFonts w:ascii="Calibri" w:eastAsia="Calibri" w:hAnsi="Calibri" w:cs="Times New Roman"/>
                <w:kern w:val="2"/>
                <w14:ligatures w14:val="standardContextual"/>
              </w:rPr>
              <w:lastRenderedPageBreak/>
              <w:t>Eliminate graphic on p. 16 since text covers same info or reduce size.</w:t>
            </w:r>
          </w:p>
          <w:p w14:paraId="5D0CDBC2" w14:textId="77777777" w:rsidR="00313744" w:rsidRPr="00665BEB" w:rsidRDefault="00313744" w:rsidP="002F47AF">
            <w:pPr>
              <w:numPr>
                <w:ilvl w:val="1"/>
                <w:numId w:val="7"/>
              </w:numPr>
              <w:spacing w:after="120"/>
              <w:ind w:left="720"/>
              <w:rPr>
                <w:rFonts w:ascii="Calibri" w:eastAsia="Calibri" w:hAnsi="Calibri" w:cs="Times New Roman"/>
                <w:kern w:val="2"/>
                <w14:ligatures w14:val="standardContextual"/>
              </w:rPr>
            </w:pPr>
            <w:r w:rsidRPr="00665BEB">
              <w:rPr>
                <w:rFonts w:ascii="Calibri" w:eastAsia="Calibri" w:hAnsi="Calibri" w:cs="Times New Roman"/>
                <w:kern w:val="2"/>
                <w14:ligatures w14:val="standardContextual"/>
              </w:rPr>
              <w:t>On page 16 reference to “questions 2A and 3A” confusing</w:t>
            </w:r>
          </w:p>
          <w:p w14:paraId="5157849B" w14:textId="5A73C12C" w:rsidR="00313744" w:rsidRDefault="00313744" w:rsidP="002F47AF">
            <w:pPr>
              <w:numPr>
                <w:ilvl w:val="1"/>
                <w:numId w:val="7"/>
              </w:numPr>
              <w:spacing w:after="120"/>
              <w:ind w:left="720"/>
              <w:rPr>
                <w:rFonts w:ascii="Calibri" w:eastAsia="Calibri" w:hAnsi="Calibri" w:cs="Times New Roman"/>
                <w:kern w:val="2"/>
                <w14:ligatures w14:val="standardContextual"/>
              </w:rPr>
            </w:pPr>
            <w:r w:rsidRPr="00665BEB">
              <w:rPr>
                <w:rFonts w:ascii="Calibri" w:eastAsia="Calibri" w:hAnsi="Calibri" w:cs="Times New Roman"/>
                <w:kern w:val="2"/>
                <w14:ligatures w14:val="standardContextual"/>
              </w:rPr>
              <w:t>New role of campus liaisons and new goals mentioned on p. 18</w:t>
            </w:r>
          </w:p>
          <w:p w14:paraId="25C6908C" w14:textId="66E671B8" w:rsidR="008E6693" w:rsidRDefault="008E6693" w:rsidP="002F47AF">
            <w:pPr>
              <w:numPr>
                <w:ilvl w:val="1"/>
                <w:numId w:val="7"/>
              </w:numPr>
              <w:spacing w:after="120"/>
              <w:ind w:left="720"/>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Move information addressing 3A from Appendix to body of report, </w:t>
            </w:r>
            <w:r w:rsidR="007E4776">
              <w:rPr>
                <w:rFonts w:ascii="Calibri" w:eastAsia="Calibri" w:hAnsi="Calibri" w:cs="Times New Roman"/>
                <w:kern w:val="2"/>
                <w14:ligatures w14:val="standardContextual"/>
              </w:rPr>
              <w:t>specifically:</w:t>
            </w:r>
          </w:p>
          <w:p w14:paraId="42FA9926" w14:textId="0752729C" w:rsidR="007E4776" w:rsidRDefault="007E4776" w:rsidP="002F47AF">
            <w:pPr>
              <w:pStyle w:val="ListParagraph"/>
              <w:numPr>
                <w:ilvl w:val="0"/>
                <w:numId w:val="8"/>
              </w:numPr>
              <w:spacing w:after="120"/>
              <w:contextualSpacing w:val="0"/>
              <w:rPr>
                <w:rFonts w:ascii="Calibri" w:eastAsia="Calibri" w:hAnsi="Calibri" w:cs="Times New Roman"/>
                <w:kern w:val="2"/>
                <w14:ligatures w14:val="standardContextual"/>
              </w:rPr>
            </w:pPr>
            <w:r>
              <w:rPr>
                <w:rFonts w:ascii="Calibri" w:eastAsia="Calibri" w:hAnsi="Calibri" w:cs="Times New Roman"/>
                <w:kern w:val="2"/>
                <w14:ligatures w14:val="standardContextual"/>
              </w:rPr>
              <w:t>Self-Service design systems</w:t>
            </w:r>
          </w:p>
          <w:p w14:paraId="01037B01" w14:textId="0EDECB82" w:rsidR="007E4776" w:rsidRDefault="007E4776" w:rsidP="002F47AF">
            <w:pPr>
              <w:pStyle w:val="ListParagraph"/>
              <w:numPr>
                <w:ilvl w:val="0"/>
                <w:numId w:val="8"/>
              </w:numPr>
              <w:spacing w:after="120"/>
              <w:contextualSpacing w:val="0"/>
              <w:rPr>
                <w:rFonts w:ascii="Calibri" w:eastAsia="Calibri" w:hAnsi="Calibri" w:cs="Times New Roman"/>
                <w:kern w:val="2"/>
                <w14:ligatures w14:val="standardContextual"/>
              </w:rPr>
            </w:pPr>
            <w:r>
              <w:rPr>
                <w:rFonts w:ascii="Calibri" w:eastAsia="Calibri" w:hAnsi="Calibri" w:cs="Times New Roman"/>
                <w:kern w:val="2"/>
                <w14:ligatures w14:val="standardContextual"/>
              </w:rPr>
              <w:t>Campus Liaisons role</w:t>
            </w:r>
          </w:p>
          <w:p w14:paraId="1431E709" w14:textId="5928D491" w:rsidR="007E4776" w:rsidRDefault="007E4776" w:rsidP="002F47AF">
            <w:pPr>
              <w:pStyle w:val="ListParagraph"/>
              <w:numPr>
                <w:ilvl w:val="0"/>
                <w:numId w:val="8"/>
              </w:numPr>
              <w:spacing w:after="120"/>
              <w:contextualSpacing w:val="0"/>
              <w:rPr>
                <w:rFonts w:ascii="Calibri" w:eastAsia="Calibri" w:hAnsi="Calibri" w:cs="Times New Roman"/>
                <w:kern w:val="2"/>
                <w14:ligatures w14:val="standardContextual"/>
              </w:rPr>
            </w:pPr>
            <w:r>
              <w:rPr>
                <w:rFonts w:ascii="Calibri" w:eastAsia="Calibri" w:hAnsi="Calibri" w:cs="Times New Roman"/>
                <w:kern w:val="2"/>
                <w14:ligatures w14:val="standardContextual"/>
              </w:rPr>
              <w:t>Cost breakdowns for outsourcing labor</w:t>
            </w:r>
          </w:p>
          <w:p w14:paraId="0E6F98AC" w14:textId="455E40D0" w:rsidR="007E4776" w:rsidRPr="007E4776" w:rsidRDefault="00AE5255" w:rsidP="002F47AF">
            <w:pPr>
              <w:spacing w:after="120"/>
              <w:rPr>
                <w:rFonts w:ascii="Calibri" w:eastAsia="Calibri" w:hAnsi="Calibri" w:cs="Times New Roman"/>
                <w:kern w:val="2"/>
                <w14:ligatures w14:val="standardContextual"/>
              </w:rPr>
            </w:pPr>
            <w:r>
              <w:rPr>
                <w:rFonts w:ascii="Calibri" w:eastAsia="Calibri" w:hAnsi="Calibri" w:cs="Times New Roman"/>
                <w:kern w:val="2"/>
                <w14:ligatures w14:val="standardContextual"/>
              </w:rPr>
              <w:t>Fundamental Concern about</w:t>
            </w:r>
            <w:r w:rsidR="007E4776">
              <w:rPr>
                <w:rFonts w:ascii="Calibri" w:eastAsia="Calibri" w:hAnsi="Calibri" w:cs="Times New Roman"/>
                <w:kern w:val="2"/>
                <w14:ligatures w14:val="standardContextual"/>
              </w:rPr>
              <w:t xml:space="preserve"> 3B</w:t>
            </w:r>
            <w:r>
              <w:rPr>
                <w:rFonts w:ascii="Calibri" w:eastAsia="Calibri" w:hAnsi="Calibri" w:cs="Times New Roman"/>
                <w:kern w:val="2"/>
                <w14:ligatures w14:val="standardContextual"/>
              </w:rPr>
              <w:t>: Because</w:t>
            </w:r>
            <w:r w:rsidR="007E4776">
              <w:rPr>
                <w:rFonts w:ascii="Calibri" w:eastAsia="Calibri" w:hAnsi="Calibri" w:cs="Times New Roman"/>
                <w:kern w:val="2"/>
                <w14:ligatures w14:val="standardContextual"/>
              </w:rPr>
              <w:t xml:space="preserve"> UTD </w:t>
            </w:r>
            <w:r>
              <w:rPr>
                <w:rFonts w:ascii="Calibri" w:eastAsia="Calibri" w:hAnsi="Calibri" w:cs="Times New Roman"/>
                <w:kern w:val="2"/>
                <w14:ligatures w14:val="standardContextual"/>
              </w:rPr>
              <w:t>i</w:t>
            </w:r>
            <w:r w:rsidR="007E4776">
              <w:rPr>
                <w:rFonts w:ascii="Calibri" w:eastAsia="Calibri" w:hAnsi="Calibri" w:cs="Times New Roman"/>
                <w:kern w:val="2"/>
                <w14:ligatures w14:val="standardContextual"/>
              </w:rPr>
              <w:t xml:space="preserve">s </w:t>
            </w:r>
            <w:r>
              <w:rPr>
                <w:rFonts w:ascii="Calibri" w:eastAsia="Calibri" w:hAnsi="Calibri" w:cs="Times New Roman"/>
                <w:kern w:val="2"/>
                <w14:ligatures w14:val="standardContextual"/>
              </w:rPr>
              <w:t xml:space="preserve">a </w:t>
            </w:r>
            <w:r w:rsidR="007E4776">
              <w:rPr>
                <w:rFonts w:ascii="Calibri" w:eastAsia="Calibri" w:hAnsi="Calibri" w:cs="Times New Roman"/>
                <w:kern w:val="2"/>
                <w14:ligatures w14:val="standardContextual"/>
              </w:rPr>
              <w:t>university not a c</w:t>
            </w:r>
            <w:r>
              <w:rPr>
                <w:rFonts w:ascii="Calibri" w:eastAsia="Calibri" w:hAnsi="Calibri" w:cs="Times New Roman"/>
                <w:kern w:val="2"/>
                <w14:ligatures w14:val="standardContextual"/>
              </w:rPr>
              <w:t xml:space="preserve">ommunity </w:t>
            </w:r>
            <w:r w:rsidR="007E4776">
              <w:rPr>
                <w:rFonts w:ascii="Calibri" w:eastAsia="Calibri" w:hAnsi="Calibri" w:cs="Times New Roman"/>
                <w:kern w:val="2"/>
                <w14:ligatures w14:val="standardContextual"/>
              </w:rPr>
              <w:t>c</w:t>
            </w:r>
            <w:r>
              <w:rPr>
                <w:rFonts w:ascii="Calibri" w:eastAsia="Calibri" w:hAnsi="Calibri" w:cs="Times New Roman"/>
                <w:kern w:val="2"/>
                <w14:ligatures w14:val="standardContextual"/>
              </w:rPr>
              <w:t xml:space="preserve">ollege, it </w:t>
            </w:r>
            <w:r w:rsidR="007E4776">
              <w:rPr>
                <w:rFonts w:ascii="Calibri" w:eastAsia="Calibri" w:hAnsi="Calibri" w:cs="Times New Roman"/>
                <w:kern w:val="2"/>
                <w14:ligatures w14:val="standardContextual"/>
              </w:rPr>
              <w:t xml:space="preserve">seems inappropriate </w:t>
            </w:r>
            <w:r>
              <w:rPr>
                <w:rFonts w:ascii="Calibri" w:eastAsia="Calibri" w:hAnsi="Calibri" w:cs="Times New Roman"/>
                <w:kern w:val="2"/>
                <w14:ligatures w14:val="standardContextual"/>
              </w:rPr>
              <w:t>as a “comparable college” for Benchmarking.</w:t>
            </w:r>
          </w:p>
          <w:p w14:paraId="25871410" w14:textId="2C37B433" w:rsidR="00313744" w:rsidRPr="00665BEB" w:rsidRDefault="00313744" w:rsidP="002F47AF">
            <w:pPr>
              <w:numPr>
                <w:ilvl w:val="0"/>
                <w:numId w:val="7"/>
              </w:numPr>
              <w:spacing w:after="120"/>
              <w:rPr>
                <w:rFonts w:ascii="Calibri" w:eastAsia="Calibri" w:hAnsi="Calibri" w:cs="Times New Roman"/>
                <w:kern w:val="2"/>
                <w14:ligatures w14:val="standardContextual"/>
              </w:rPr>
            </w:pPr>
            <w:r w:rsidRPr="00665BEB">
              <w:rPr>
                <w:rFonts w:ascii="Calibri" w:eastAsia="Calibri" w:hAnsi="Calibri" w:cs="Times New Roman"/>
                <w:kern w:val="2"/>
                <w14:ligatures w14:val="standardContextual"/>
              </w:rPr>
              <w:t xml:space="preserve">  </w:t>
            </w:r>
            <w:r>
              <w:rPr>
                <w:rFonts w:ascii="Calibri" w:eastAsia="Calibri" w:hAnsi="Calibri" w:cs="Times New Roman"/>
                <w:kern w:val="2"/>
                <w14:ligatures w14:val="standardContextual"/>
              </w:rPr>
              <w:t>Recommendations</w:t>
            </w:r>
          </w:p>
          <w:p w14:paraId="111493AC" w14:textId="47BFAED6" w:rsidR="00313744" w:rsidRDefault="008E6693" w:rsidP="002F47AF">
            <w:pPr>
              <w:numPr>
                <w:ilvl w:val="1"/>
                <w:numId w:val="7"/>
              </w:numPr>
              <w:spacing w:after="120"/>
              <w:ind w:left="720"/>
              <w:rPr>
                <w:rFonts w:ascii="Calibri" w:eastAsia="Calibri" w:hAnsi="Calibri" w:cs="Times New Roman"/>
                <w:kern w:val="2"/>
                <w14:ligatures w14:val="standardContextual"/>
              </w:rPr>
            </w:pPr>
            <w:r>
              <w:rPr>
                <w:rFonts w:ascii="Calibri" w:eastAsia="Calibri" w:hAnsi="Calibri" w:cs="Times New Roman"/>
                <w:kern w:val="2"/>
                <w14:ligatures w14:val="standardContextual"/>
              </w:rPr>
              <w:t>Clearly address</w:t>
            </w:r>
            <w:r w:rsidR="00313744" w:rsidRPr="00665BEB">
              <w:rPr>
                <w:rFonts w:ascii="Calibri" w:eastAsia="Calibri" w:hAnsi="Calibri" w:cs="Times New Roman"/>
                <w:kern w:val="2"/>
                <w14:ligatures w14:val="standardContextual"/>
              </w:rPr>
              <w:t xml:space="preserve"> new ideas gained for service improvement</w:t>
            </w:r>
            <w:r>
              <w:rPr>
                <w:rFonts w:ascii="Calibri" w:eastAsia="Calibri" w:hAnsi="Calibri" w:cs="Times New Roman"/>
                <w:kern w:val="2"/>
                <w14:ligatures w14:val="standardContextual"/>
              </w:rPr>
              <w:t xml:space="preserve"> from comparable colleges as required in 3B Benchmarking prompt; if not new ideas for service improvement gained, state as much.</w:t>
            </w:r>
          </w:p>
          <w:p w14:paraId="1FA32D0C" w14:textId="4BE94301" w:rsidR="008E6693" w:rsidRDefault="008E6693" w:rsidP="002F47AF">
            <w:pPr>
              <w:numPr>
                <w:ilvl w:val="1"/>
                <w:numId w:val="7"/>
              </w:numPr>
              <w:spacing w:after="120"/>
              <w:ind w:left="720"/>
              <w:rPr>
                <w:rFonts w:ascii="Calibri" w:eastAsia="Calibri" w:hAnsi="Calibri" w:cs="Times New Roman"/>
                <w:kern w:val="2"/>
                <w14:ligatures w14:val="standardContextual"/>
              </w:rPr>
            </w:pPr>
            <w:r>
              <w:rPr>
                <w:rFonts w:ascii="Calibri" w:eastAsia="Calibri" w:hAnsi="Calibri" w:cs="Times New Roman"/>
                <w:kern w:val="2"/>
                <w14:ligatures w14:val="standardContextual"/>
              </w:rPr>
              <w:lastRenderedPageBreak/>
              <w:t>Since survey instrument is in</w:t>
            </w:r>
            <w:r w:rsidR="007E4776">
              <w:rPr>
                <w:rFonts w:ascii="Calibri" w:eastAsia="Calibri" w:hAnsi="Calibri" w:cs="Times New Roman"/>
                <w:kern w:val="2"/>
                <w14:ligatures w14:val="standardContextual"/>
              </w:rPr>
              <w:t xml:space="preserve"> Appendix already, remove from body of report (p. 18-19 currently).</w:t>
            </w:r>
          </w:p>
          <w:p w14:paraId="60021B05" w14:textId="679B4534" w:rsidR="00322EEC" w:rsidRPr="00322EEC" w:rsidRDefault="00322EEC" w:rsidP="002F47AF">
            <w:pPr>
              <w:numPr>
                <w:ilvl w:val="1"/>
                <w:numId w:val="7"/>
              </w:numPr>
              <w:spacing w:after="120"/>
              <w:ind w:left="720"/>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Regarding </w:t>
            </w:r>
            <w:r w:rsidRPr="00322EEC">
              <w:rPr>
                <w:rFonts w:ascii="Calibri" w:eastAsia="Calibri" w:hAnsi="Calibri" w:cs="Times New Roman"/>
                <w:kern w:val="2"/>
                <w14:ligatures w14:val="standardContextual"/>
              </w:rPr>
              <w:t>Appendix treatment of 3B</w:t>
            </w:r>
          </w:p>
          <w:p w14:paraId="231ABBC0" w14:textId="77777777" w:rsidR="00322EEC" w:rsidRDefault="00322EEC" w:rsidP="002F47AF">
            <w:pPr>
              <w:numPr>
                <w:ilvl w:val="2"/>
                <w:numId w:val="7"/>
              </w:numPr>
              <w:spacing w:after="120"/>
              <w:ind w:left="907" w:hanging="187"/>
              <w:rPr>
                <w:rFonts w:ascii="Calibri" w:eastAsia="Calibri" w:hAnsi="Calibri" w:cs="Times New Roman"/>
                <w:kern w:val="2"/>
                <w14:ligatures w14:val="standardContextual"/>
              </w:rPr>
            </w:pPr>
            <w:r w:rsidRPr="00322EEC">
              <w:rPr>
                <w:rFonts w:ascii="Calibri" w:eastAsia="Calibri" w:hAnsi="Calibri" w:cs="Times New Roman"/>
                <w:kern w:val="2"/>
                <w14:ligatures w14:val="standardContextual"/>
              </w:rPr>
              <w:t xml:space="preserve">If aim of including Collin’s actual responses and comparable college’s actual responses to survey </w:t>
            </w:r>
            <w:r>
              <w:rPr>
                <w:rFonts w:ascii="Calibri" w:eastAsia="Calibri" w:hAnsi="Calibri" w:cs="Times New Roman"/>
                <w:kern w:val="2"/>
                <w14:ligatures w14:val="standardContextual"/>
              </w:rPr>
              <w:t xml:space="preserve">instrument on p. 55-58 </w:t>
            </w:r>
            <w:r w:rsidRPr="00322EEC">
              <w:rPr>
                <w:rFonts w:ascii="Calibri" w:eastAsia="Calibri" w:hAnsi="Calibri" w:cs="Times New Roman"/>
                <w:kern w:val="2"/>
                <w14:ligatures w14:val="standardContextual"/>
              </w:rPr>
              <w:t xml:space="preserve">is </w:t>
            </w:r>
            <w:r w:rsidR="00AE5255" w:rsidRPr="00322EEC">
              <w:rPr>
                <w:rFonts w:ascii="Calibri" w:eastAsia="Calibri" w:hAnsi="Calibri" w:cs="Times New Roman"/>
                <w:kern w:val="2"/>
                <w14:ligatures w14:val="standardContextual"/>
              </w:rPr>
              <w:t xml:space="preserve">to compare </w:t>
            </w:r>
            <w:r>
              <w:rPr>
                <w:rFonts w:ascii="Calibri" w:eastAsia="Calibri" w:hAnsi="Calibri" w:cs="Times New Roman"/>
                <w:kern w:val="2"/>
                <w14:ligatures w14:val="standardContextual"/>
              </w:rPr>
              <w:t>data</w:t>
            </w:r>
            <w:r w:rsidR="00AE5255" w:rsidRPr="00322EEC">
              <w:rPr>
                <w:rFonts w:ascii="Calibri" w:eastAsia="Calibri" w:hAnsi="Calibri" w:cs="Times New Roman"/>
                <w:kern w:val="2"/>
                <w14:ligatures w14:val="standardContextual"/>
              </w:rPr>
              <w:t xml:space="preserve">, </w:t>
            </w:r>
            <w:r>
              <w:rPr>
                <w:rFonts w:ascii="Calibri" w:eastAsia="Calibri" w:hAnsi="Calibri" w:cs="Times New Roman"/>
                <w:kern w:val="2"/>
                <w14:ligatures w14:val="standardContextual"/>
              </w:rPr>
              <w:t>then</w:t>
            </w:r>
          </w:p>
          <w:p w14:paraId="54496685" w14:textId="4F4963C9" w:rsidR="00CB79E1" w:rsidRDefault="00CB79E1" w:rsidP="002F47AF">
            <w:pPr>
              <w:numPr>
                <w:ilvl w:val="3"/>
                <w:numId w:val="7"/>
              </w:numPr>
              <w:spacing w:after="120"/>
              <w:ind w:left="1440"/>
              <w:rPr>
                <w:rFonts w:ascii="Calibri" w:eastAsia="Calibri" w:hAnsi="Calibri" w:cs="Times New Roman"/>
                <w:kern w:val="2"/>
                <w14:ligatures w14:val="standardContextual"/>
              </w:rPr>
            </w:pPr>
            <w:r>
              <w:rPr>
                <w:rFonts w:ascii="Calibri" w:eastAsia="Calibri" w:hAnsi="Calibri" w:cs="Times New Roman"/>
                <w:kern w:val="2"/>
                <w14:ligatures w14:val="standardContextual"/>
              </w:rPr>
              <w:t>C</w:t>
            </w:r>
            <w:r w:rsidR="00AE5255" w:rsidRPr="00322EEC">
              <w:rPr>
                <w:rFonts w:ascii="Calibri" w:eastAsia="Calibri" w:hAnsi="Calibri" w:cs="Times New Roman"/>
                <w:kern w:val="2"/>
                <w14:ligatures w14:val="standardContextual"/>
              </w:rPr>
              <w:t xml:space="preserve">reate </w:t>
            </w:r>
            <w:r>
              <w:rPr>
                <w:rFonts w:ascii="Calibri" w:eastAsia="Calibri" w:hAnsi="Calibri" w:cs="Times New Roman"/>
                <w:kern w:val="2"/>
                <w14:ligatures w14:val="standardContextual"/>
              </w:rPr>
              <w:t xml:space="preserve">data </w:t>
            </w:r>
            <w:r w:rsidR="00AE5255" w:rsidRPr="00322EEC">
              <w:rPr>
                <w:rFonts w:ascii="Calibri" w:eastAsia="Calibri" w:hAnsi="Calibri" w:cs="Times New Roman"/>
                <w:kern w:val="2"/>
                <w14:ligatures w14:val="standardContextual"/>
              </w:rPr>
              <w:t>table for ease of comparison and</w:t>
            </w:r>
            <w:r>
              <w:rPr>
                <w:rFonts w:ascii="Calibri" w:eastAsia="Calibri" w:hAnsi="Calibri" w:cs="Times New Roman"/>
                <w:kern w:val="2"/>
                <w14:ligatures w14:val="standardContextual"/>
              </w:rPr>
              <w:t xml:space="preserve"> readability</w:t>
            </w:r>
            <w:r w:rsidR="00AE5255" w:rsidRPr="00322EEC">
              <w:rPr>
                <w:rFonts w:ascii="Calibri" w:eastAsia="Calibri" w:hAnsi="Calibri" w:cs="Times New Roman"/>
                <w:kern w:val="2"/>
                <w14:ligatures w14:val="standardContextual"/>
              </w:rPr>
              <w:t xml:space="preserve"> in Appendix</w:t>
            </w:r>
          </w:p>
          <w:p w14:paraId="5C84BF34" w14:textId="53342CC8" w:rsidR="00AE5255" w:rsidRDefault="00CB79E1" w:rsidP="002F47AF">
            <w:pPr>
              <w:numPr>
                <w:ilvl w:val="3"/>
                <w:numId w:val="7"/>
              </w:numPr>
              <w:spacing w:after="120"/>
              <w:ind w:left="1440"/>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Provide comparable colleges’ actual responses to survey instrument </w:t>
            </w:r>
            <w:r w:rsidR="00AE5255" w:rsidRPr="00322EEC">
              <w:rPr>
                <w:rFonts w:ascii="Calibri" w:eastAsia="Calibri" w:hAnsi="Calibri" w:cs="Times New Roman"/>
                <w:kern w:val="2"/>
                <w14:ligatures w14:val="standardContextual"/>
              </w:rPr>
              <w:t>as supporting documentation</w:t>
            </w:r>
            <w:r>
              <w:rPr>
                <w:rFonts w:ascii="Calibri" w:eastAsia="Calibri" w:hAnsi="Calibri" w:cs="Times New Roman"/>
                <w:kern w:val="2"/>
                <w14:ligatures w14:val="standardContextual"/>
              </w:rPr>
              <w:t>, not in Appendix</w:t>
            </w:r>
            <w:r w:rsidR="00AE5255" w:rsidRPr="00322EEC">
              <w:rPr>
                <w:rFonts w:ascii="Calibri" w:eastAsia="Calibri" w:hAnsi="Calibri" w:cs="Times New Roman"/>
                <w:kern w:val="2"/>
                <w14:ligatures w14:val="standardContextual"/>
              </w:rPr>
              <w:t>.</w:t>
            </w:r>
          </w:p>
          <w:p w14:paraId="13A6D76A" w14:textId="0696461F" w:rsidR="00CB79E1" w:rsidRDefault="00CB79E1" w:rsidP="002F47AF">
            <w:pPr>
              <w:numPr>
                <w:ilvl w:val="2"/>
                <w:numId w:val="7"/>
              </w:numPr>
              <w:spacing w:after="120"/>
              <w:ind w:left="907" w:hanging="187"/>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If aim of including </w:t>
            </w:r>
            <w:r w:rsidRPr="00CB79E1">
              <w:rPr>
                <w:rFonts w:ascii="Calibri" w:eastAsia="Calibri" w:hAnsi="Calibri" w:cs="Times New Roman"/>
                <w:kern w:val="2"/>
                <w14:ligatures w14:val="standardContextual"/>
              </w:rPr>
              <w:t>Collin’s actual responses and comparable college’s actual responses to survey instrument on p. 55-58 is to</w:t>
            </w:r>
            <w:r>
              <w:rPr>
                <w:rFonts w:ascii="Calibri" w:eastAsia="Calibri" w:hAnsi="Calibri" w:cs="Times New Roman"/>
                <w:kern w:val="2"/>
                <w14:ligatures w14:val="standardContextual"/>
              </w:rPr>
              <w:t xml:space="preserve"> summarize information, then:</w:t>
            </w:r>
          </w:p>
          <w:p w14:paraId="1631596D" w14:textId="1A671123" w:rsidR="00CB79E1" w:rsidRDefault="00CB79E1" w:rsidP="002F47AF">
            <w:pPr>
              <w:numPr>
                <w:ilvl w:val="3"/>
                <w:numId w:val="7"/>
              </w:numPr>
              <w:spacing w:after="120"/>
              <w:ind w:left="1440"/>
              <w:rPr>
                <w:rFonts w:ascii="Calibri" w:eastAsia="Calibri" w:hAnsi="Calibri" w:cs="Times New Roman"/>
                <w:kern w:val="2"/>
                <w14:ligatures w14:val="standardContextual"/>
              </w:rPr>
            </w:pPr>
            <w:r>
              <w:rPr>
                <w:rFonts w:ascii="Calibri" w:eastAsia="Calibri" w:hAnsi="Calibri" w:cs="Times New Roman"/>
                <w:kern w:val="2"/>
                <w14:ligatures w14:val="standardContextual"/>
              </w:rPr>
              <w:t>Remove Collin’s responses from Appendix because this information is already in report body.</w:t>
            </w:r>
          </w:p>
          <w:p w14:paraId="76A6EF72" w14:textId="77777777" w:rsidR="00CB79E1" w:rsidRDefault="00CB79E1" w:rsidP="002F47AF">
            <w:pPr>
              <w:numPr>
                <w:ilvl w:val="3"/>
                <w:numId w:val="7"/>
              </w:numPr>
              <w:spacing w:after="120"/>
              <w:ind w:left="1440"/>
              <w:rPr>
                <w:rFonts w:ascii="Calibri" w:eastAsia="Calibri" w:hAnsi="Calibri" w:cs="Times New Roman"/>
                <w:kern w:val="2"/>
                <w14:ligatures w14:val="standardContextual"/>
              </w:rPr>
            </w:pPr>
            <w:r>
              <w:rPr>
                <w:rFonts w:ascii="Calibri" w:eastAsia="Calibri" w:hAnsi="Calibri" w:cs="Times New Roman"/>
                <w:kern w:val="2"/>
                <w14:ligatures w14:val="standardContextual"/>
              </w:rPr>
              <w:lastRenderedPageBreak/>
              <w:t>Retain Unit’s summaries of returned survey data in Appendix.</w:t>
            </w:r>
          </w:p>
          <w:p w14:paraId="64817820" w14:textId="63B1EDF8" w:rsidR="00313744" w:rsidRPr="00CB79E1" w:rsidRDefault="00CB79E1" w:rsidP="002F47AF">
            <w:pPr>
              <w:numPr>
                <w:ilvl w:val="3"/>
                <w:numId w:val="7"/>
              </w:numPr>
              <w:spacing w:after="120"/>
              <w:ind w:left="1440"/>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 Provide </w:t>
            </w:r>
            <w:r w:rsidRPr="00CB79E1">
              <w:rPr>
                <w:rFonts w:ascii="Calibri" w:eastAsia="Calibri" w:hAnsi="Calibri" w:cs="Times New Roman"/>
                <w:kern w:val="2"/>
                <w14:ligatures w14:val="standardContextual"/>
              </w:rPr>
              <w:t>comparable colleges’ actual responses to survey instrument as supporting documentation, not in Appendix.</w:t>
            </w:r>
          </w:p>
        </w:tc>
      </w:tr>
      <w:tr w:rsidR="00313744" w14:paraId="74CE43A1" w14:textId="77777777" w:rsidTr="00313744">
        <w:tc>
          <w:tcPr>
            <w:tcW w:w="3401" w:type="dxa"/>
          </w:tcPr>
          <w:p w14:paraId="17F3FC82" w14:textId="77777777" w:rsidR="00313744" w:rsidRDefault="00313744" w:rsidP="00313744">
            <w:pPr>
              <w:ind w:left="180" w:hanging="180"/>
            </w:pPr>
            <w:r>
              <w:lastRenderedPageBreak/>
              <w:t>4. How does the unit impact student outcomes?</w:t>
            </w:r>
          </w:p>
        </w:tc>
        <w:tc>
          <w:tcPr>
            <w:tcW w:w="1347" w:type="dxa"/>
          </w:tcPr>
          <w:p w14:paraId="062AB5E9" w14:textId="7B01DECD" w:rsidR="00313744" w:rsidRDefault="004B4D58" w:rsidP="00313744">
            <w:r w:rsidRPr="004B4D58">
              <w:t>AWR</w:t>
            </w:r>
          </w:p>
        </w:tc>
        <w:tc>
          <w:tcPr>
            <w:tcW w:w="1381" w:type="dxa"/>
          </w:tcPr>
          <w:p w14:paraId="2F916557" w14:textId="21B47494" w:rsidR="00313744" w:rsidRDefault="004B4D58" w:rsidP="00313744">
            <w:r w:rsidRPr="004B4D58">
              <w:t>AWR</w:t>
            </w:r>
          </w:p>
        </w:tc>
        <w:tc>
          <w:tcPr>
            <w:tcW w:w="1685" w:type="dxa"/>
          </w:tcPr>
          <w:p w14:paraId="77E98F32" w14:textId="516FD0D7" w:rsidR="00313744" w:rsidRDefault="004B4D58" w:rsidP="00313744">
            <w:r w:rsidRPr="004B4D58">
              <w:t>AWR</w:t>
            </w:r>
          </w:p>
        </w:tc>
        <w:tc>
          <w:tcPr>
            <w:tcW w:w="1596" w:type="dxa"/>
          </w:tcPr>
          <w:p w14:paraId="56277423" w14:textId="19EF9C43" w:rsidR="00313744" w:rsidRDefault="004B4D58" w:rsidP="00313744">
            <w:r w:rsidRPr="004B4D58">
              <w:t>AWR</w:t>
            </w:r>
          </w:p>
        </w:tc>
        <w:tc>
          <w:tcPr>
            <w:tcW w:w="4895" w:type="dxa"/>
          </w:tcPr>
          <w:p w14:paraId="478E73B2" w14:textId="295465B6" w:rsidR="008851E1" w:rsidRDefault="00CB79E1" w:rsidP="002F47AF">
            <w:pPr>
              <w:spacing w:after="120"/>
            </w:pPr>
            <w:r>
              <w:t xml:space="preserve">There is </w:t>
            </w:r>
            <w:r w:rsidR="008851E1">
              <w:t>no</w:t>
            </w:r>
            <w:r>
              <w:t xml:space="preserve"> evidence </w:t>
            </w:r>
            <w:r w:rsidR="008851E1">
              <w:t xml:space="preserve">to show the effects of the </w:t>
            </w:r>
            <w:r>
              <w:t>Unit</w:t>
            </w:r>
            <w:r w:rsidR="008851E1">
              <w:t xml:space="preserve"> </w:t>
            </w:r>
            <w:r>
              <w:t>on student outcomes</w:t>
            </w:r>
            <w:r w:rsidR="008851E1">
              <w:t xml:space="preserve"> (</w:t>
            </w:r>
            <w:r>
              <w:t xml:space="preserve">of recruitment </w:t>
            </w:r>
            <w:r w:rsidR="00D83D9A">
              <w:t>and</w:t>
            </w:r>
            <w:r>
              <w:t xml:space="preserve"> </w:t>
            </w:r>
            <w:r w:rsidR="001A3903">
              <w:t xml:space="preserve">possibly of </w:t>
            </w:r>
            <w:r>
              <w:t>retention</w:t>
            </w:r>
            <w:r w:rsidR="00D83D9A">
              <w:t xml:space="preserve"> – not sure as any case could be made for Unit’s role in completion)</w:t>
            </w:r>
            <w:r>
              <w:t>.</w:t>
            </w:r>
            <w:r w:rsidR="008851E1">
              <w:t xml:space="preserve">  </w:t>
            </w:r>
          </w:p>
          <w:p w14:paraId="56754C22" w14:textId="79FDDB91" w:rsidR="008851E1" w:rsidRDefault="008851E1" w:rsidP="002F47AF">
            <w:pPr>
              <w:pStyle w:val="ListParagraph"/>
              <w:numPr>
                <w:ilvl w:val="0"/>
                <w:numId w:val="9"/>
              </w:numPr>
              <w:spacing w:after="120"/>
              <w:contextualSpacing w:val="0"/>
            </w:pPr>
            <w:r>
              <w:t xml:space="preserve">Evidence in this section conveys output of Unit, not impact.  </w:t>
            </w:r>
          </w:p>
          <w:p w14:paraId="4D19C885" w14:textId="614731CB" w:rsidR="00313744" w:rsidRDefault="008851E1" w:rsidP="002F47AF">
            <w:pPr>
              <w:pStyle w:val="ListParagraph"/>
              <w:numPr>
                <w:ilvl w:val="0"/>
                <w:numId w:val="9"/>
              </w:numPr>
              <w:spacing w:after="120"/>
              <w:contextualSpacing w:val="0"/>
            </w:pPr>
            <w:r>
              <w:t>Unit relies on speculation as to its impact, which is logical and plausible, but Unit does not provide verifiable quantitative or qualitative data to support impact.</w:t>
            </w:r>
          </w:p>
          <w:p w14:paraId="034E20E7" w14:textId="77777777" w:rsidR="008851E1" w:rsidRDefault="008851E1" w:rsidP="002F47AF">
            <w:pPr>
              <w:spacing w:after="120"/>
            </w:pPr>
          </w:p>
          <w:p w14:paraId="429F5009" w14:textId="533B8492" w:rsidR="008851E1" w:rsidRDefault="008851E1" w:rsidP="002F47AF">
            <w:pPr>
              <w:spacing w:after="120"/>
            </w:pPr>
            <w:r>
              <w:t xml:space="preserve">I do not think the Unit has </w:t>
            </w:r>
            <w:r w:rsidR="002F47AF">
              <w:t xml:space="preserve">or has had </w:t>
            </w:r>
            <w:r>
              <w:t>any measurement instruments to gauge its impact on student outcomes.</w:t>
            </w:r>
          </w:p>
        </w:tc>
      </w:tr>
      <w:tr w:rsidR="00313744" w14:paraId="63ABB9F6" w14:textId="77777777" w:rsidTr="00313744">
        <w:tc>
          <w:tcPr>
            <w:tcW w:w="3401" w:type="dxa"/>
          </w:tcPr>
          <w:p w14:paraId="280579F1" w14:textId="77777777" w:rsidR="00313744" w:rsidRDefault="00313744" w:rsidP="00313744">
            <w:pPr>
              <w:ind w:left="180" w:hanging="180"/>
            </w:pPr>
            <w:r>
              <w:t>5.  How effectively does the unit communicate?</w:t>
            </w:r>
          </w:p>
        </w:tc>
        <w:tc>
          <w:tcPr>
            <w:tcW w:w="1347" w:type="dxa"/>
            <w:shd w:val="clear" w:color="auto" w:fill="auto"/>
          </w:tcPr>
          <w:p w14:paraId="7523CF2A" w14:textId="49702AD7" w:rsidR="00D83D9A" w:rsidRDefault="004B4D58" w:rsidP="00313744">
            <w:r w:rsidRPr="004B4D58">
              <w:t>AWR</w:t>
            </w:r>
          </w:p>
        </w:tc>
        <w:tc>
          <w:tcPr>
            <w:tcW w:w="1381" w:type="dxa"/>
            <w:shd w:val="clear" w:color="auto" w:fill="auto"/>
          </w:tcPr>
          <w:p w14:paraId="79CF7C6F" w14:textId="31F85BB1" w:rsidR="00313744" w:rsidRDefault="004B4D58" w:rsidP="00313744">
            <w:r w:rsidRPr="004B4D58">
              <w:t>AWR</w:t>
            </w:r>
          </w:p>
        </w:tc>
        <w:tc>
          <w:tcPr>
            <w:tcW w:w="1685" w:type="dxa"/>
            <w:shd w:val="clear" w:color="auto" w:fill="auto"/>
          </w:tcPr>
          <w:p w14:paraId="27E5AA08" w14:textId="731AD66A" w:rsidR="00313744" w:rsidRDefault="004B4D58" w:rsidP="00313744">
            <w:r w:rsidRPr="004B4D58">
              <w:t>AWR</w:t>
            </w:r>
          </w:p>
        </w:tc>
        <w:tc>
          <w:tcPr>
            <w:tcW w:w="1596" w:type="dxa"/>
            <w:shd w:val="clear" w:color="auto" w:fill="auto"/>
          </w:tcPr>
          <w:p w14:paraId="30B8CA8D" w14:textId="3A64061F" w:rsidR="00313744" w:rsidRDefault="004B4D58" w:rsidP="00313744">
            <w:r w:rsidRPr="004B4D58">
              <w:t>AWR</w:t>
            </w:r>
          </w:p>
        </w:tc>
        <w:tc>
          <w:tcPr>
            <w:tcW w:w="4895" w:type="dxa"/>
          </w:tcPr>
          <w:p w14:paraId="74B63319" w14:textId="77777777" w:rsidR="00313744" w:rsidRDefault="00D83D9A" w:rsidP="002F47AF">
            <w:pPr>
              <w:pStyle w:val="ListParagraph"/>
              <w:numPr>
                <w:ilvl w:val="0"/>
                <w:numId w:val="10"/>
              </w:numPr>
              <w:spacing w:after="120"/>
              <w:contextualSpacing w:val="0"/>
            </w:pPr>
            <w:r>
              <w:t>Recommendations</w:t>
            </w:r>
          </w:p>
          <w:p w14:paraId="28EDF0B4" w14:textId="50E79E62" w:rsidR="00D83D9A" w:rsidRDefault="00D83D9A" w:rsidP="002F47AF">
            <w:pPr>
              <w:pStyle w:val="ListParagraph"/>
              <w:numPr>
                <w:ilvl w:val="1"/>
                <w:numId w:val="10"/>
              </w:numPr>
              <w:spacing w:after="120"/>
              <w:ind w:left="720"/>
              <w:contextualSpacing w:val="0"/>
            </w:pPr>
            <w:r>
              <w:t>Identify data/goals from College’s recruitment plan.</w:t>
            </w:r>
          </w:p>
          <w:p w14:paraId="3CF93777" w14:textId="4F0438FC" w:rsidR="00D83D9A" w:rsidRDefault="00D83D9A" w:rsidP="002F47AF">
            <w:pPr>
              <w:pStyle w:val="ListParagraph"/>
              <w:numPr>
                <w:ilvl w:val="1"/>
                <w:numId w:val="10"/>
              </w:numPr>
              <w:spacing w:after="120"/>
              <w:ind w:left="720"/>
              <w:contextualSpacing w:val="0"/>
            </w:pPr>
            <w:r>
              <w:lastRenderedPageBreak/>
              <w:t xml:space="preserve">Identify which </w:t>
            </w:r>
            <w:r w:rsidR="001A3903">
              <w:t>(</w:t>
            </w:r>
            <w:r>
              <w:t>and/or simply quantity of</w:t>
            </w:r>
            <w:r w:rsidR="001A3903">
              <w:t xml:space="preserve">) </w:t>
            </w:r>
            <w:r>
              <w:t>printed literature and electronic communications produced by Unit aim to support to College’s recruitment plan.</w:t>
            </w:r>
          </w:p>
          <w:p w14:paraId="75F87C0C" w14:textId="60F4DE7C" w:rsidR="00D83D9A" w:rsidRDefault="00D83D9A" w:rsidP="002F47AF">
            <w:pPr>
              <w:pStyle w:val="ListParagraph"/>
              <w:numPr>
                <w:ilvl w:val="1"/>
                <w:numId w:val="10"/>
              </w:numPr>
              <w:spacing w:after="120"/>
              <w:ind w:left="720"/>
              <w:contextualSpacing w:val="0"/>
            </w:pPr>
            <w:r>
              <w:t>Provide data that demonstrates</w:t>
            </w:r>
            <w:r w:rsidR="001A3903">
              <w:t>/evidences</w:t>
            </w:r>
            <w:r>
              <w:t xml:space="preserve"> impact of Unit’s recruitment</w:t>
            </w:r>
            <w:r w:rsidR="001A3903">
              <w:t>-geared printed</w:t>
            </w:r>
            <w:r w:rsidR="001A3903" w:rsidRPr="001A3903">
              <w:t xml:space="preserve"> literature and electronic communications</w:t>
            </w:r>
            <w:r w:rsidR="001A3903">
              <w:t xml:space="preserve"> on College’s recruitment numbers (i.e., how many new students at Collin attributed some form of Unit’s output to their decision to enroll at Collin).</w:t>
            </w:r>
          </w:p>
          <w:p w14:paraId="3AC2C0A1" w14:textId="376472DB" w:rsidR="001A3903" w:rsidRDefault="001A3903" w:rsidP="002F47AF">
            <w:pPr>
              <w:pStyle w:val="ListParagraph"/>
              <w:numPr>
                <w:ilvl w:val="1"/>
                <w:numId w:val="10"/>
              </w:numPr>
              <w:spacing w:after="120"/>
              <w:ind w:left="720"/>
              <w:contextualSpacing w:val="0"/>
            </w:pPr>
            <w:r>
              <w:t>If case can be made for Unit’s impact on student outcome of retention:</w:t>
            </w:r>
          </w:p>
          <w:p w14:paraId="4547392F" w14:textId="7294609B" w:rsidR="001A3903" w:rsidRDefault="001A3903" w:rsidP="002F47AF">
            <w:pPr>
              <w:pStyle w:val="ListParagraph"/>
              <w:numPr>
                <w:ilvl w:val="2"/>
                <w:numId w:val="10"/>
              </w:numPr>
              <w:spacing w:after="120"/>
              <w:ind w:left="1267" w:hanging="187"/>
              <w:contextualSpacing w:val="0"/>
            </w:pPr>
            <w:r>
              <w:t>Identify data/goals from College’s retention plan.</w:t>
            </w:r>
          </w:p>
          <w:p w14:paraId="58699963" w14:textId="6AAF8C94" w:rsidR="001A3903" w:rsidRDefault="001A3903" w:rsidP="002F47AF">
            <w:pPr>
              <w:pStyle w:val="ListParagraph"/>
              <w:numPr>
                <w:ilvl w:val="2"/>
                <w:numId w:val="10"/>
              </w:numPr>
              <w:spacing w:after="120"/>
              <w:ind w:left="1267" w:hanging="187"/>
              <w:contextualSpacing w:val="0"/>
            </w:pPr>
            <w:r>
              <w:t>Identify which (and/or simply quantity of) printed literature and electronic communications produced by Unit (and/or by internal clients with Unit’s assistance) aim to support to College’s retention plan.</w:t>
            </w:r>
          </w:p>
          <w:p w14:paraId="662E5895" w14:textId="15EC20D5" w:rsidR="001A3903" w:rsidRDefault="001A3903" w:rsidP="002F47AF">
            <w:pPr>
              <w:pStyle w:val="ListParagraph"/>
              <w:numPr>
                <w:ilvl w:val="2"/>
                <w:numId w:val="10"/>
              </w:numPr>
              <w:spacing w:after="120"/>
              <w:ind w:left="1267" w:hanging="187"/>
              <w:contextualSpacing w:val="0"/>
            </w:pPr>
            <w:r>
              <w:t>Provide data that demonstrates/evidences impact of Unit’s (and/or internal client’s) retention-geared printed</w:t>
            </w:r>
            <w:r w:rsidRPr="001A3903">
              <w:t xml:space="preserve"> literature </w:t>
            </w:r>
            <w:r w:rsidRPr="001A3903">
              <w:lastRenderedPageBreak/>
              <w:t>and electronic communications</w:t>
            </w:r>
            <w:r>
              <w:t xml:space="preserve"> on College’s retention numbers.</w:t>
            </w:r>
          </w:p>
          <w:p w14:paraId="3B423477" w14:textId="3F143D1D" w:rsidR="008251FB" w:rsidRDefault="008251FB" w:rsidP="002F47AF">
            <w:pPr>
              <w:pStyle w:val="ListParagraph"/>
              <w:numPr>
                <w:ilvl w:val="1"/>
                <w:numId w:val="10"/>
              </w:numPr>
              <w:spacing w:after="120"/>
              <w:ind w:left="720"/>
              <w:contextualSpacing w:val="0"/>
            </w:pPr>
            <w:r>
              <w:t>Describe the</w:t>
            </w:r>
            <w:r w:rsidRPr="008251FB">
              <w:t xml:space="preserve"> </w:t>
            </w:r>
            <w:r w:rsidRPr="008251FB">
              <w:rPr>
                <w:rStyle w:val="Strong"/>
              </w:rPr>
              <w:t>processes</w:t>
            </w:r>
            <w:r w:rsidRPr="008251FB">
              <w:t xml:space="preserve"> in place to ensure that information is current, accurate, relevant, and available.</w:t>
            </w:r>
          </w:p>
          <w:p w14:paraId="308D2651" w14:textId="0F6DF13B" w:rsidR="001A3903" w:rsidRDefault="008251FB" w:rsidP="002F47AF">
            <w:pPr>
              <w:pStyle w:val="ListParagraph"/>
              <w:numPr>
                <w:ilvl w:val="2"/>
                <w:numId w:val="10"/>
              </w:numPr>
              <w:spacing w:after="120"/>
              <w:ind w:left="1267" w:hanging="187"/>
              <w:contextualSpacing w:val="0"/>
            </w:pPr>
            <w:r>
              <w:t xml:space="preserve">Specify if there are regularly scheduled reviews (e.g. monthly, </w:t>
            </w:r>
            <w:r w:rsidR="0005279E">
              <w:t xml:space="preserve">or annually </w:t>
            </w:r>
            <w:r>
              <w:t xml:space="preserve">at end of </w:t>
            </w:r>
            <w:r w:rsidR="0005279E">
              <w:t xml:space="preserve">academic or </w:t>
            </w:r>
            <w:r>
              <w:t>fiscal year)</w:t>
            </w:r>
            <w:r w:rsidR="0005279E">
              <w:t>,</w:t>
            </w:r>
            <w:r>
              <w:t xml:space="preserve"> or if there are specific triggers (e.g., Registrar sends email to AVP that withdrawal date for 16-week classes changes from 8</w:t>
            </w:r>
            <w:r w:rsidRPr="008251FB">
              <w:rPr>
                <w:vertAlign w:val="superscript"/>
              </w:rPr>
              <w:t>th</w:t>
            </w:r>
            <w:r>
              <w:t xml:space="preserve"> to 10</w:t>
            </w:r>
            <w:r w:rsidRPr="008251FB">
              <w:rPr>
                <w:vertAlign w:val="superscript"/>
              </w:rPr>
              <w:t>th</w:t>
            </w:r>
            <w:r>
              <w:t xml:space="preserve"> week of semester and all print and digital literature must reflect change as of specified date)</w:t>
            </w:r>
            <w:r w:rsidR="0005279E">
              <w:t>, or whatever mechanisms employed to check currency, accuracy, relevance, and availability of information.</w:t>
            </w:r>
          </w:p>
          <w:p w14:paraId="07CC2FE4" w14:textId="3BF275DC" w:rsidR="0005279E" w:rsidRDefault="00EA4628" w:rsidP="002F47AF">
            <w:pPr>
              <w:pStyle w:val="ListParagraph"/>
              <w:numPr>
                <w:ilvl w:val="1"/>
                <w:numId w:val="10"/>
              </w:numPr>
              <w:spacing w:after="120"/>
              <w:ind w:left="720"/>
              <w:contextualSpacing w:val="0"/>
            </w:pPr>
            <w:r>
              <w:t>Broaden definition of what</w:t>
            </w:r>
            <w:r w:rsidR="0005279E">
              <w:t xml:space="preserve"> </w:t>
            </w:r>
            <w:r>
              <w:t xml:space="preserve">Unit conceives of as “literature” on p.23 to address the digital ads, videos, social media posts, and any other strategic messaging produced directly and indirectly by the Unit </w:t>
            </w:r>
            <w:r w:rsidR="009C18F7">
              <w:t xml:space="preserve">for a student audience </w:t>
            </w:r>
            <w:r>
              <w:t>and then answer report questions of “</w:t>
            </w:r>
            <w:r w:rsidRPr="00EA4628">
              <w:t xml:space="preserve">How does the program ensure that students are informed/aware of </w:t>
            </w:r>
            <w:r w:rsidRPr="00EA4628">
              <w:lastRenderedPageBreak/>
              <w:t>unit literature? Is unit literature made accessible to all students (</w:t>
            </w:r>
            <w:r w:rsidR="009C18F7" w:rsidRPr="00EA4628">
              <w:t>i.e.,</w:t>
            </w:r>
            <w:r w:rsidRPr="00EA4628">
              <w:t xml:space="preserve"> can they obtain the information they need)?</w:t>
            </w:r>
            <w:r>
              <w:t>”</w:t>
            </w:r>
          </w:p>
          <w:p w14:paraId="2274DEF7" w14:textId="60016E33" w:rsidR="00EA4628" w:rsidRDefault="00EA4628" w:rsidP="002F47AF">
            <w:pPr>
              <w:pStyle w:val="ListParagraph"/>
              <w:numPr>
                <w:ilvl w:val="2"/>
                <w:numId w:val="10"/>
              </w:numPr>
              <w:spacing w:after="120"/>
              <w:ind w:left="1267" w:hanging="187"/>
              <w:contextualSpacing w:val="0"/>
            </w:pPr>
            <w:r>
              <w:t>If Unit</w:t>
            </w:r>
            <w:r w:rsidR="009C18F7">
              <w:t xml:space="preserve"> cannot answer for current students, then answer first question regarding prospective students (i.e., </w:t>
            </w:r>
            <w:r w:rsidR="009C18F7" w:rsidRPr="009C18F7">
              <w:t>How does the program ensure that students are informed/aware of unit literature?</w:t>
            </w:r>
            <w:r w:rsidR="009C18F7">
              <w:t>).</w:t>
            </w:r>
          </w:p>
          <w:p w14:paraId="23912027" w14:textId="77777777" w:rsidR="0005279E" w:rsidRDefault="0005279E" w:rsidP="002F47AF">
            <w:pPr>
              <w:spacing w:after="120"/>
            </w:pPr>
            <w:r>
              <w:t xml:space="preserve">NOTE:  </w:t>
            </w:r>
            <w:r w:rsidRPr="0005279E">
              <w:t xml:space="preserve">Although Unit commendably solicited student feedback through Clarus survey for digital messaging and for College’s website redesign, this student feedback </w:t>
            </w:r>
            <w:r>
              <w:t>served to aid</w:t>
            </w:r>
            <w:r w:rsidRPr="0005279E">
              <w:t xml:space="preserve"> Unit’s work planning not to measure its impact.</w:t>
            </w:r>
          </w:p>
          <w:p w14:paraId="03E99F1B" w14:textId="77777777" w:rsidR="009C18F7" w:rsidRDefault="009C18F7" w:rsidP="002F47AF">
            <w:pPr>
              <w:pStyle w:val="ListParagraph"/>
              <w:numPr>
                <w:ilvl w:val="0"/>
                <w:numId w:val="10"/>
              </w:numPr>
              <w:spacing w:after="120"/>
              <w:contextualSpacing w:val="0"/>
            </w:pPr>
            <w:r>
              <w:t>Recommendations</w:t>
            </w:r>
          </w:p>
          <w:p w14:paraId="1F803287" w14:textId="57E676F3" w:rsidR="009C18F7" w:rsidRDefault="009C18F7" w:rsidP="002F47AF">
            <w:pPr>
              <w:pStyle w:val="ListParagraph"/>
              <w:numPr>
                <w:ilvl w:val="1"/>
                <w:numId w:val="10"/>
              </w:numPr>
              <w:spacing w:after="120"/>
              <w:ind w:left="720"/>
              <w:contextualSpacing w:val="0"/>
            </w:pPr>
            <w:r>
              <w:t xml:space="preserve">Create a subsection 5B header over discussion of Unit’s </w:t>
            </w:r>
            <w:r w:rsidR="00B905DC">
              <w:t>web/internet presence.</w:t>
            </w:r>
          </w:p>
          <w:p w14:paraId="6E48176A" w14:textId="34B658A9" w:rsidR="00B905DC" w:rsidRDefault="00B905DC" w:rsidP="002F47AF">
            <w:pPr>
              <w:pStyle w:val="ListParagraph"/>
              <w:numPr>
                <w:ilvl w:val="2"/>
                <w:numId w:val="10"/>
              </w:numPr>
              <w:spacing w:after="120"/>
              <w:ind w:left="1267" w:hanging="187"/>
              <w:contextualSpacing w:val="0"/>
            </w:pPr>
            <w:r>
              <w:t>Reformat narrative to list format, even if retaining descriptive aspects now present on p. 23.</w:t>
            </w:r>
          </w:p>
          <w:p w14:paraId="4C6664BC" w14:textId="77777777" w:rsidR="009C18F7" w:rsidRDefault="009C18F7" w:rsidP="002F47AF">
            <w:pPr>
              <w:pStyle w:val="ListParagraph"/>
              <w:numPr>
                <w:ilvl w:val="2"/>
                <w:numId w:val="10"/>
              </w:numPr>
              <w:spacing w:after="120"/>
              <w:ind w:left="1267" w:hanging="187"/>
              <w:contextualSpacing w:val="0"/>
            </w:pPr>
            <w:r>
              <w:t>Add list of social media URLs that Unit maintains for College.</w:t>
            </w:r>
          </w:p>
          <w:p w14:paraId="261A9D4C" w14:textId="77777777" w:rsidR="00B905DC" w:rsidRDefault="00B905DC" w:rsidP="002F47AF">
            <w:pPr>
              <w:pStyle w:val="ListParagraph"/>
              <w:numPr>
                <w:ilvl w:val="0"/>
                <w:numId w:val="10"/>
              </w:numPr>
              <w:spacing w:after="120"/>
              <w:contextualSpacing w:val="0"/>
            </w:pPr>
            <w:r>
              <w:t>Reorganize contents of table.</w:t>
            </w:r>
          </w:p>
          <w:p w14:paraId="17144A1F" w14:textId="77777777" w:rsidR="00B905DC" w:rsidRDefault="00B905DC" w:rsidP="002F47AF">
            <w:pPr>
              <w:pStyle w:val="ListParagraph"/>
              <w:numPr>
                <w:ilvl w:val="1"/>
                <w:numId w:val="10"/>
              </w:numPr>
              <w:spacing w:after="120"/>
              <w:ind w:left="720"/>
              <w:contextualSpacing w:val="0"/>
            </w:pPr>
            <w:r>
              <w:lastRenderedPageBreak/>
              <w:t>Contents of “Type” column consist of URLS instead of categorical descriptor of literature</w:t>
            </w:r>
            <w:r w:rsidR="006D5ED4">
              <w:t xml:space="preserve"> as report form designates.</w:t>
            </w:r>
          </w:p>
          <w:p w14:paraId="69B47838" w14:textId="0A831165" w:rsidR="006D5ED4" w:rsidRDefault="006D5ED4" w:rsidP="002F47AF">
            <w:pPr>
              <w:pStyle w:val="ListParagraph"/>
              <w:numPr>
                <w:ilvl w:val="2"/>
                <w:numId w:val="10"/>
              </w:numPr>
              <w:spacing w:after="120"/>
              <w:ind w:left="1267" w:hanging="187"/>
              <w:contextualSpacing w:val="0"/>
            </w:pPr>
            <w:r>
              <w:t>Consider consolidating literature by Type and listing more than one name of literature in “Title” column.  Examples:</w:t>
            </w:r>
          </w:p>
          <w:p w14:paraId="0E7418BE" w14:textId="613F09AF" w:rsidR="006D5ED4" w:rsidRDefault="006D5ED4" w:rsidP="002F47AF">
            <w:pPr>
              <w:pStyle w:val="ListParagraph"/>
              <w:numPr>
                <w:ilvl w:val="3"/>
                <w:numId w:val="10"/>
              </w:numPr>
              <w:spacing w:after="120"/>
              <w:ind w:left="1800"/>
              <w:contextualSpacing w:val="0"/>
            </w:pPr>
            <w:r>
              <w:t>Use “graphic download” under “Type” column and in “Title” column, list letterhead and logos in single cell.</w:t>
            </w:r>
          </w:p>
          <w:p w14:paraId="4A636F0B" w14:textId="3E365559" w:rsidR="006D5ED4" w:rsidRDefault="006D5ED4" w:rsidP="002F47AF">
            <w:pPr>
              <w:pStyle w:val="ListParagraph"/>
              <w:numPr>
                <w:ilvl w:val="3"/>
                <w:numId w:val="10"/>
              </w:numPr>
              <w:spacing w:after="120"/>
              <w:ind w:left="1800"/>
              <w:contextualSpacing w:val="0"/>
            </w:pPr>
            <w:r>
              <w:t>Use “user guides/manuals” under “Type” column and in “Title” column, list guides for editorial and social media styles and graphics standards manual.</w:t>
            </w:r>
          </w:p>
          <w:p w14:paraId="3C3F4E4D" w14:textId="673B5C79" w:rsidR="006D5ED4" w:rsidRDefault="006D5ED4" w:rsidP="002F47AF">
            <w:pPr>
              <w:pStyle w:val="ListParagraph"/>
              <w:numPr>
                <w:ilvl w:val="2"/>
                <w:numId w:val="10"/>
              </w:numPr>
              <w:spacing w:after="120"/>
              <w:ind w:left="1267" w:hanging="187"/>
              <w:contextualSpacing w:val="0"/>
            </w:pPr>
            <w:r>
              <w:t>If consolidate in this way and checkboxes differ, annotate under “Date of Last Review/Update” column.</w:t>
            </w:r>
            <w:r w:rsidR="009E46C3">
              <w:t xml:space="preserve">  (Also, list responsible parties if more than one, annotating who links to which title if necessary/desirable.)</w:t>
            </w:r>
          </w:p>
        </w:tc>
      </w:tr>
      <w:tr w:rsidR="00313744" w14:paraId="5A1595CB" w14:textId="77777777" w:rsidTr="00313744">
        <w:tc>
          <w:tcPr>
            <w:tcW w:w="3401" w:type="dxa"/>
          </w:tcPr>
          <w:p w14:paraId="4E09F1FA" w14:textId="77777777" w:rsidR="00313744" w:rsidRDefault="00313744" w:rsidP="00313744">
            <w:pPr>
              <w:ind w:left="180" w:hanging="180"/>
            </w:pPr>
            <w:r>
              <w:lastRenderedPageBreak/>
              <w:t>6. Does the unit build and leverage partnerships?</w:t>
            </w:r>
          </w:p>
        </w:tc>
        <w:tc>
          <w:tcPr>
            <w:tcW w:w="1347" w:type="dxa"/>
          </w:tcPr>
          <w:p w14:paraId="6E94D4F7" w14:textId="3447D8D6" w:rsidR="00313744" w:rsidRDefault="00313744" w:rsidP="00313744">
            <w:r>
              <w:t>AWR</w:t>
            </w:r>
          </w:p>
        </w:tc>
        <w:tc>
          <w:tcPr>
            <w:tcW w:w="1381" w:type="dxa"/>
          </w:tcPr>
          <w:p w14:paraId="5EBAFD11" w14:textId="3D484EF7" w:rsidR="00313744" w:rsidRDefault="00313744" w:rsidP="00313744">
            <w:r>
              <w:t>AWR?</w:t>
            </w:r>
          </w:p>
        </w:tc>
        <w:tc>
          <w:tcPr>
            <w:tcW w:w="1685" w:type="dxa"/>
          </w:tcPr>
          <w:p w14:paraId="468B6066" w14:textId="1649441E" w:rsidR="00313744" w:rsidRDefault="00313744" w:rsidP="00313744">
            <w:r>
              <w:t>RR</w:t>
            </w:r>
          </w:p>
        </w:tc>
        <w:tc>
          <w:tcPr>
            <w:tcW w:w="1596" w:type="dxa"/>
          </w:tcPr>
          <w:p w14:paraId="6BFE001E" w14:textId="4131B786" w:rsidR="00313744" w:rsidRDefault="008F2B0D" w:rsidP="00313744">
            <w:r>
              <w:t>RR?</w:t>
            </w:r>
          </w:p>
        </w:tc>
        <w:tc>
          <w:tcPr>
            <w:tcW w:w="4895" w:type="dxa"/>
          </w:tcPr>
          <w:p w14:paraId="24EB9DDC" w14:textId="59EA65F4" w:rsidR="00313744" w:rsidRDefault="008F2B0D" w:rsidP="002F47AF">
            <w:pPr>
              <w:spacing w:after="120"/>
            </w:pPr>
            <w:r>
              <w:t>Recommendations</w:t>
            </w:r>
          </w:p>
          <w:p w14:paraId="4972C3FA" w14:textId="4F5F007F" w:rsidR="008F2B0D" w:rsidRDefault="00BE3FEA" w:rsidP="002F47AF">
            <w:pPr>
              <w:pStyle w:val="ListParagraph"/>
              <w:numPr>
                <w:ilvl w:val="0"/>
                <w:numId w:val="11"/>
              </w:numPr>
              <w:spacing w:after="120"/>
              <w:contextualSpacing w:val="0"/>
            </w:pPr>
            <w:r>
              <w:lastRenderedPageBreak/>
              <w:t>MUST e</w:t>
            </w:r>
            <w:r w:rsidR="008F2B0D">
              <w:t xml:space="preserve">xplain value added by each partnership (or partnership type, see </w:t>
            </w:r>
            <w:r>
              <w:t>discussion of “Description” column below</w:t>
            </w:r>
            <w:r w:rsidR="008F2B0D">
              <w:t>) to Unit’s outcomes (impact).</w:t>
            </w:r>
          </w:p>
          <w:p w14:paraId="1F267081" w14:textId="3D93D51A" w:rsidR="008F2B0D" w:rsidRDefault="008F2B0D" w:rsidP="002F47AF">
            <w:pPr>
              <w:pStyle w:val="ListParagraph"/>
              <w:numPr>
                <w:ilvl w:val="0"/>
                <w:numId w:val="11"/>
              </w:numPr>
              <w:spacing w:after="120"/>
              <w:contextualSpacing w:val="0"/>
            </w:pPr>
            <w:r>
              <w:t>For first row, break out into multiple rows,</w:t>
            </w:r>
          </w:p>
          <w:p w14:paraId="22454156" w14:textId="68604B89" w:rsidR="008F2B0D" w:rsidRDefault="008F2B0D" w:rsidP="002F47AF">
            <w:pPr>
              <w:pStyle w:val="ListParagraph"/>
              <w:numPr>
                <w:ilvl w:val="1"/>
                <w:numId w:val="11"/>
              </w:numPr>
              <w:spacing w:after="120"/>
              <w:ind w:left="720"/>
              <w:contextualSpacing w:val="0"/>
            </w:pPr>
            <w:r>
              <w:t>Removing “External Relations” from first column</w:t>
            </w:r>
          </w:p>
          <w:p w14:paraId="118EED73" w14:textId="7AF90D36" w:rsidR="008F2B0D" w:rsidRDefault="008F2B0D" w:rsidP="002F47AF">
            <w:pPr>
              <w:pStyle w:val="ListParagraph"/>
              <w:numPr>
                <w:ilvl w:val="1"/>
                <w:numId w:val="11"/>
              </w:numPr>
              <w:spacing w:after="120"/>
              <w:ind w:left="720"/>
              <w:contextualSpacing w:val="0"/>
            </w:pPr>
            <w:r>
              <w:t>creating individual row</w:t>
            </w:r>
            <w:r w:rsidR="00BE3FEA">
              <w:t>s each</w:t>
            </w:r>
            <w:r>
              <w:t xml:space="preserve"> for:</w:t>
            </w:r>
          </w:p>
          <w:p w14:paraId="1874999A" w14:textId="77777777" w:rsidR="008F2B0D" w:rsidRDefault="008F2B0D" w:rsidP="002F47AF">
            <w:pPr>
              <w:pStyle w:val="ListParagraph"/>
              <w:numPr>
                <w:ilvl w:val="2"/>
                <w:numId w:val="11"/>
              </w:numPr>
              <w:spacing w:after="120"/>
              <w:ind w:left="907" w:hanging="187"/>
              <w:contextualSpacing w:val="0"/>
            </w:pPr>
            <w:r>
              <w:t xml:space="preserve"> </w:t>
            </w:r>
            <w:r w:rsidR="00BE3FEA">
              <w:t>the federal and state elected office districts combined</w:t>
            </w:r>
          </w:p>
          <w:p w14:paraId="79E33658" w14:textId="3C89FFE4" w:rsidR="00BE3FEA" w:rsidRDefault="00BE3FEA" w:rsidP="002F47AF">
            <w:pPr>
              <w:pStyle w:val="ListParagraph"/>
              <w:numPr>
                <w:ilvl w:val="2"/>
                <w:numId w:val="11"/>
              </w:numPr>
              <w:spacing w:after="120"/>
              <w:ind w:left="907" w:hanging="187"/>
              <w:contextualSpacing w:val="0"/>
            </w:pPr>
            <w:r>
              <w:t>Baylor Scott…Board</w:t>
            </w:r>
          </w:p>
          <w:p w14:paraId="0177A2A1" w14:textId="39832CA0" w:rsidR="00BE3FEA" w:rsidRDefault="00BE3FEA" w:rsidP="002F47AF">
            <w:pPr>
              <w:pStyle w:val="ListParagraph"/>
              <w:numPr>
                <w:ilvl w:val="2"/>
                <w:numId w:val="11"/>
              </w:numPr>
              <w:spacing w:after="120"/>
              <w:ind w:left="907" w:hanging="187"/>
              <w:contextualSpacing w:val="0"/>
            </w:pPr>
            <w:r>
              <w:t xml:space="preserve">Richardson Chamber of Commerce…Committee </w:t>
            </w:r>
          </w:p>
          <w:p w14:paraId="532B9605" w14:textId="335CBF94" w:rsidR="00BE3FEA" w:rsidRDefault="00BE3FEA" w:rsidP="002F47AF">
            <w:pPr>
              <w:pStyle w:val="ListParagraph"/>
              <w:numPr>
                <w:ilvl w:val="3"/>
                <w:numId w:val="11"/>
              </w:numPr>
              <w:spacing w:after="120"/>
              <w:ind w:left="1440"/>
              <w:contextualSpacing w:val="0"/>
            </w:pPr>
            <w:r>
              <w:t>If any other local chambers of commerce are also partners, list together in this row</w:t>
            </w:r>
          </w:p>
          <w:p w14:paraId="6F51A3DC" w14:textId="77777777" w:rsidR="00BE3FEA" w:rsidRDefault="00BE3FEA" w:rsidP="002F47AF">
            <w:pPr>
              <w:pStyle w:val="ListParagraph"/>
              <w:numPr>
                <w:ilvl w:val="2"/>
                <w:numId w:val="11"/>
              </w:numPr>
              <w:spacing w:after="120"/>
              <w:ind w:left="907" w:hanging="187"/>
              <w:contextualSpacing w:val="0"/>
            </w:pPr>
            <w:r>
              <w:t>Plano ISD…Class 2</w:t>
            </w:r>
          </w:p>
          <w:p w14:paraId="352C5893" w14:textId="7888CCF6" w:rsidR="00BE3FEA" w:rsidRPr="00BE3FEA" w:rsidRDefault="00BE3FEA" w:rsidP="002F47AF">
            <w:pPr>
              <w:pStyle w:val="ListParagraph"/>
              <w:numPr>
                <w:ilvl w:val="3"/>
                <w:numId w:val="11"/>
              </w:numPr>
              <w:spacing w:after="120"/>
              <w:ind w:left="1440"/>
              <w:contextualSpacing w:val="0"/>
            </w:pPr>
            <w:r>
              <w:t>If any other ISDs are also partners, list</w:t>
            </w:r>
            <w:r w:rsidRPr="00BE3FEA">
              <w:t xml:space="preserve"> together in this row</w:t>
            </w:r>
          </w:p>
          <w:p w14:paraId="1235696F" w14:textId="7132267D" w:rsidR="00BE3FEA" w:rsidRDefault="00BE3FEA" w:rsidP="002F47AF">
            <w:pPr>
              <w:pStyle w:val="ListParagraph"/>
              <w:numPr>
                <w:ilvl w:val="1"/>
                <w:numId w:val="11"/>
              </w:numPr>
              <w:spacing w:after="120"/>
              <w:ind w:left="720"/>
              <w:contextualSpacing w:val="0"/>
            </w:pPr>
            <w:r>
              <w:t>Describe the partner/organization</w:t>
            </w:r>
            <w:r w:rsidR="00F149D7">
              <w:t xml:space="preserve"> type</w:t>
            </w:r>
            <w:r>
              <w:t xml:space="preserve"> categorically </w:t>
            </w:r>
            <w:r w:rsidR="00F149D7">
              <w:t xml:space="preserve">(e.g., local chamber(s) of commerce). </w:t>
            </w:r>
          </w:p>
          <w:p w14:paraId="4776E2E4" w14:textId="77777777" w:rsidR="00F149D7" w:rsidRDefault="00F149D7" w:rsidP="002F47AF">
            <w:pPr>
              <w:pStyle w:val="ListParagraph"/>
              <w:numPr>
                <w:ilvl w:val="1"/>
                <w:numId w:val="11"/>
              </w:numPr>
              <w:spacing w:after="120"/>
              <w:ind w:left="720"/>
              <w:contextualSpacing w:val="0"/>
            </w:pPr>
            <w:r>
              <w:lastRenderedPageBreak/>
              <w:t>In last column regarding value, indicate</w:t>
            </w:r>
          </w:p>
          <w:p w14:paraId="7AE0A67E" w14:textId="77777777" w:rsidR="00F149D7" w:rsidRDefault="00F149D7" w:rsidP="002F47AF">
            <w:pPr>
              <w:pStyle w:val="ListParagraph"/>
              <w:numPr>
                <w:ilvl w:val="2"/>
                <w:numId w:val="11"/>
              </w:numPr>
              <w:spacing w:after="120"/>
              <w:ind w:left="1267" w:hanging="187"/>
              <w:contextualSpacing w:val="0"/>
            </w:pPr>
            <w:r>
              <w:t>what partner (partner type) provides to Unit (</w:t>
            </w:r>
            <w:r w:rsidRPr="00F149D7">
              <w:rPr>
                <w:rStyle w:val="Strong"/>
              </w:rPr>
              <w:t>not</w:t>
            </w:r>
            <w:r>
              <w:t xml:space="preserve"> what Unit supplies to partner)</w:t>
            </w:r>
          </w:p>
          <w:p w14:paraId="67D8EC06" w14:textId="77777777" w:rsidR="00F149D7" w:rsidRDefault="00F149D7" w:rsidP="002F47AF">
            <w:pPr>
              <w:pStyle w:val="ListParagraph"/>
              <w:numPr>
                <w:ilvl w:val="2"/>
                <w:numId w:val="11"/>
              </w:numPr>
              <w:spacing w:after="120"/>
              <w:ind w:left="1267" w:hanging="187"/>
              <w:contextualSpacing w:val="0"/>
            </w:pPr>
            <w:r>
              <w:t>explanation of how that partnership advances the Unit’s outcomes</w:t>
            </w:r>
          </w:p>
          <w:p w14:paraId="0A140B8C" w14:textId="6FEE3BAE" w:rsidR="00F149D7" w:rsidRDefault="00F149D7" w:rsidP="002F47AF">
            <w:pPr>
              <w:pStyle w:val="ListParagraph"/>
              <w:numPr>
                <w:ilvl w:val="0"/>
                <w:numId w:val="11"/>
              </w:numPr>
              <w:spacing w:after="120"/>
              <w:contextualSpacing w:val="0"/>
            </w:pPr>
            <w:r>
              <w:t>In second row, similar to first row: break into multiple rows to list individual media outlets that are partners; in “Description” column note type of media outlet (e.g., newspapers); in last column  regarding value, indicate</w:t>
            </w:r>
          </w:p>
          <w:p w14:paraId="3E0BB833" w14:textId="77777777" w:rsidR="00F149D7" w:rsidRDefault="00F149D7" w:rsidP="002F47AF">
            <w:pPr>
              <w:pStyle w:val="ListParagraph"/>
              <w:numPr>
                <w:ilvl w:val="1"/>
                <w:numId w:val="11"/>
              </w:numPr>
              <w:spacing w:after="120"/>
              <w:ind w:left="720"/>
              <w:contextualSpacing w:val="0"/>
            </w:pPr>
            <w:r>
              <w:t>what partner (partner type) provides to Unit (not what Unit supplies to partner)</w:t>
            </w:r>
          </w:p>
          <w:p w14:paraId="62A65B29" w14:textId="77777777" w:rsidR="00F149D7" w:rsidRDefault="00F149D7" w:rsidP="002F47AF">
            <w:pPr>
              <w:pStyle w:val="ListParagraph"/>
              <w:numPr>
                <w:ilvl w:val="1"/>
                <w:numId w:val="11"/>
              </w:numPr>
              <w:spacing w:after="120"/>
              <w:ind w:left="720"/>
              <w:contextualSpacing w:val="0"/>
            </w:pPr>
            <w:r>
              <w:t>explanation of how that partnership advances the Unit’s outcomes</w:t>
            </w:r>
          </w:p>
          <w:p w14:paraId="6AF8071A" w14:textId="171242D6" w:rsidR="00F149D7" w:rsidRDefault="00CF28BD" w:rsidP="002F47AF">
            <w:pPr>
              <w:pStyle w:val="ListParagraph"/>
              <w:numPr>
                <w:ilvl w:val="0"/>
                <w:numId w:val="11"/>
              </w:numPr>
              <w:spacing w:after="120"/>
              <w:contextualSpacing w:val="0"/>
            </w:pPr>
            <w:r>
              <w:t>In third row, the President’s Office seems to be described as a client rather than a partner.</w:t>
            </w:r>
          </w:p>
          <w:p w14:paraId="02F677EE" w14:textId="77777777" w:rsidR="00CF28BD" w:rsidRDefault="00CF28BD" w:rsidP="002F47AF">
            <w:pPr>
              <w:pStyle w:val="ListParagraph"/>
              <w:numPr>
                <w:ilvl w:val="0"/>
                <w:numId w:val="11"/>
              </w:numPr>
              <w:spacing w:after="120"/>
              <w:contextualSpacing w:val="0"/>
            </w:pPr>
            <w:r>
              <w:t>In the fifth row, I thought Campus Liaisons were employees of the Unit, not partners.</w:t>
            </w:r>
          </w:p>
          <w:p w14:paraId="0A5781A7" w14:textId="764FAF8D" w:rsidR="00CF28BD" w:rsidRDefault="00CF28BD" w:rsidP="002F47AF">
            <w:pPr>
              <w:pStyle w:val="ListParagraph"/>
              <w:numPr>
                <w:ilvl w:val="0"/>
                <w:numId w:val="11"/>
              </w:numPr>
              <w:spacing w:after="120"/>
              <w:contextualSpacing w:val="0"/>
            </w:pPr>
            <w:r>
              <w:t xml:space="preserve">In sixth row, shift individual internal partners listed in second column into first column (but remove President’s Office since already in its own row); consider if appropriate to create </w:t>
            </w:r>
            <w:r>
              <w:lastRenderedPageBreak/>
              <w:t xml:space="preserve">separate row for partners that provide distinctive value to Unit’s outcomes. </w:t>
            </w:r>
          </w:p>
        </w:tc>
      </w:tr>
      <w:tr w:rsidR="00313744" w14:paraId="1FBFD5D4" w14:textId="77777777" w:rsidTr="00313744">
        <w:tc>
          <w:tcPr>
            <w:tcW w:w="3401" w:type="dxa"/>
          </w:tcPr>
          <w:p w14:paraId="09207A72" w14:textId="77777777" w:rsidR="00313744" w:rsidRDefault="00313744" w:rsidP="00313744">
            <w:pPr>
              <w:ind w:left="180" w:hanging="180"/>
            </w:pPr>
            <w:r>
              <w:lastRenderedPageBreak/>
              <w:t>7. Are staff supported with professional development?</w:t>
            </w:r>
          </w:p>
        </w:tc>
        <w:tc>
          <w:tcPr>
            <w:tcW w:w="1347" w:type="dxa"/>
          </w:tcPr>
          <w:p w14:paraId="5F0CACEA" w14:textId="77777777" w:rsidR="00313744" w:rsidRDefault="00313744" w:rsidP="00313744">
            <w:r>
              <w:t>A</w:t>
            </w:r>
          </w:p>
          <w:p w14:paraId="3E0617E5" w14:textId="356782AB" w:rsidR="004B4D58" w:rsidRDefault="004B4D58" w:rsidP="00313744"/>
        </w:tc>
        <w:tc>
          <w:tcPr>
            <w:tcW w:w="1381" w:type="dxa"/>
          </w:tcPr>
          <w:p w14:paraId="0ACF73AD" w14:textId="22DE37EB" w:rsidR="00313744" w:rsidRDefault="00313744" w:rsidP="00313744">
            <w:r>
              <w:t>AWR</w:t>
            </w:r>
          </w:p>
        </w:tc>
        <w:tc>
          <w:tcPr>
            <w:tcW w:w="1685" w:type="dxa"/>
          </w:tcPr>
          <w:p w14:paraId="53957243" w14:textId="218FC4D4" w:rsidR="00313744" w:rsidRDefault="00313744" w:rsidP="00313744">
            <w:r>
              <w:t>AWR</w:t>
            </w:r>
          </w:p>
        </w:tc>
        <w:tc>
          <w:tcPr>
            <w:tcW w:w="1596" w:type="dxa"/>
          </w:tcPr>
          <w:p w14:paraId="274D59F2" w14:textId="04528233" w:rsidR="00313744" w:rsidRDefault="00313744" w:rsidP="00313744">
            <w:r>
              <w:t>A</w:t>
            </w:r>
          </w:p>
        </w:tc>
        <w:tc>
          <w:tcPr>
            <w:tcW w:w="4895" w:type="dxa"/>
          </w:tcPr>
          <w:p w14:paraId="649E7E0A" w14:textId="5BB48F76" w:rsidR="00313744" w:rsidRDefault="00CF28BD" w:rsidP="002F47AF">
            <w:pPr>
              <w:spacing w:after="120"/>
            </w:pPr>
            <w:r>
              <w:t>Recommendations</w:t>
            </w:r>
            <w:r w:rsidR="00B24303">
              <w:t xml:space="preserve"> (Appendix)</w:t>
            </w:r>
          </w:p>
          <w:p w14:paraId="03439FE4" w14:textId="3D360DD8" w:rsidR="00CF28BD" w:rsidRDefault="00CF28BD" w:rsidP="002F47AF">
            <w:pPr>
              <w:pStyle w:val="ListParagraph"/>
              <w:numPr>
                <w:ilvl w:val="0"/>
                <w:numId w:val="12"/>
              </w:numPr>
              <w:spacing w:after="120"/>
              <w:contextualSpacing w:val="0"/>
            </w:pPr>
            <w:r>
              <w:t>Edit narrative text in last column (i.e., “</w:t>
            </w:r>
            <w:r w:rsidRPr="00CF28BD">
              <w:t>How is it Valuable to the Unit?</w:t>
            </w:r>
            <w:r>
              <w:t>”) to</w:t>
            </w:r>
          </w:p>
          <w:p w14:paraId="05F7DBF0" w14:textId="0CF01F6C" w:rsidR="00CF28BD" w:rsidRDefault="00CF28BD" w:rsidP="002F47AF">
            <w:pPr>
              <w:pStyle w:val="ListParagraph"/>
              <w:numPr>
                <w:ilvl w:val="1"/>
                <w:numId w:val="12"/>
              </w:numPr>
              <w:spacing w:after="120"/>
              <w:ind w:left="720"/>
              <w:contextualSpacing w:val="0"/>
            </w:pPr>
            <w:r>
              <w:t>tighten focus on answering question about value added to Unit</w:t>
            </w:r>
            <w:r w:rsidR="00A6745A">
              <w:t xml:space="preserve"> as a collective group or team</w:t>
            </w:r>
          </w:p>
          <w:p w14:paraId="7AFC22A3" w14:textId="77777777" w:rsidR="00CF28BD" w:rsidRDefault="00CF28BD" w:rsidP="002F47AF">
            <w:pPr>
              <w:pStyle w:val="ListParagraph"/>
              <w:numPr>
                <w:ilvl w:val="1"/>
                <w:numId w:val="12"/>
              </w:numPr>
              <w:spacing w:after="120"/>
              <w:ind w:left="720"/>
              <w:contextualSpacing w:val="0"/>
            </w:pPr>
            <w:r>
              <w:t xml:space="preserve">remove language that reflects personal development </w:t>
            </w:r>
            <w:r w:rsidR="00A6745A">
              <w:t>journey or benefit to employee as</w:t>
            </w:r>
            <w:r>
              <w:t xml:space="preserve"> </w:t>
            </w:r>
            <w:r w:rsidR="00A6745A">
              <w:t xml:space="preserve">an </w:t>
            </w:r>
            <w:r>
              <w:t>individual</w:t>
            </w:r>
            <w:r w:rsidR="00A6745A">
              <w:t xml:space="preserve"> person</w:t>
            </w:r>
          </w:p>
          <w:p w14:paraId="5D805814" w14:textId="5E0D1196" w:rsidR="00B24303" w:rsidRDefault="00B24303" w:rsidP="002F47AF">
            <w:pPr>
              <w:pStyle w:val="ListParagraph"/>
              <w:numPr>
                <w:ilvl w:val="0"/>
                <w:numId w:val="12"/>
              </w:numPr>
              <w:spacing w:after="120"/>
              <w:contextualSpacing w:val="0"/>
            </w:pPr>
            <w:r>
              <w:t>Consider using a single row to list all the monthly communications department guest speakers one time and list everyone who attended (annotated as necessary if they missed one) and then focus on value of these guest speakers to Unit rather than value to individual Unit employees.</w:t>
            </w:r>
          </w:p>
        </w:tc>
      </w:tr>
      <w:tr w:rsidR="00313744" w14:paraId="7F8F37C6" w14:textId="77777777" w:rsidTr="00313744">
        <w:tc>
          <w:tcPr>
            <w:tcW w:w="3401" w:type="dxa"/>
          </w:tcPr>
          <w:p w14:paraId="1D7AE256" w14:textId="77777777" w:rsidR="00313744" w:rsidRDefault="00313744" w:rsidP="00313744">
            <w:pPr>
              <w:ind w:left="180" w:hanging="180"/>
            </w:pPr>
            <w:r>
              <w:t>8. [Optional] Does the unit have sufficient facilities and equipment?</w:t>
            </w:r>
          </w:p>
        </w:tc>
        <w:tc>
          <w:tcPr>
            <w:tcW w:w="1347" w:type="dxa"/>
            <w:shd w:val="clear" w:color="auto" w:fill="808080" w:themeFill="background1" w:themeFillShade="80"/>
          </w:tcPr>
          <w:p w14:paraId="0E49B930" w14:textId="77777777" w:rsidR="00313744" w:rsidRDefault="00313744" w:rsidP="00313744"/>
        </w:tc>
        <w:tc>
          <w:tcPr>
            <w:tcW w:w="1381" w:type="dxa"/>
            <w:shd w:val="clear" w:color="auto" w:fill="808080" w:themeFill="background1" w:themeFillShade="80"/>
          </w:tcPr>
          <w:p w14:paraId="3D5225E7" w14:textId="77777777" w:rsidR="00313744" w:rsidRDefault="00313744" w:rsidP="00313744"/>
        </w:tc>
        <w:tc>
          <w:tcPr>
            <w:tcW w:w="1685" w:type="dxa"/>
            <w:shd w:val="clear" w:color="auto" w:fill="808080" w:themeFill="background1" w:themeFillShade="80"/>
          </w:tcPr>
          <w:p w14:paraId="1384E2FE" w14:textId="77777777" w:rsidR="00313744" w:rsidRDefault="00313744" w:rsidP="00313744"/>
        </w:tc>
        <w:tc>
          <w:tcPr>
            <w:tcW w:w="1596" w:type="dxa"/>
            <w:shd w:val="clear" w:color="auto" w:fill="808080" w:themeFill="background1" w:themeFillShade="80"/>
          </w:tcPr>
          <w:p w14:paraId="6C04D61B" w14:textId="77777777" w:rsidR="00313744" w:rsidRDefault="00313744" w:rsidP="00313744"/>
        </w:tc>
        <w:tc>
          <w:tcPr>
            <w:tcW w:w="4895" w:type="dxa"/>
          </w:tcPr>
          <w:p w14:paraId="1096AD9E" w14:textId="77777777" w:rsidR="00313744" w:rsidRDefault="00313744" w:rsidP="002F47AF">
            <w:pPr>
              <w:spacing w:after="120"/>
            </w:pPr>
          </w:p>
        </w:tc>
      </w:tr>
      <w:tr w:rsidR="00313744" w14:paraId="2EA1A8D3" w14:textId="77777777" w:rsidTr="00313744">
        <w:tc>
          <w:tcPr>
            <w:tcW w:w="3401" w:type="dxa"/>
          </w:tcPr>
          <w:p w14:paraId="345B9BAB" w14:textId="77777777" w:rsidR="00313744" w:rsidRDefault="00313744" w:rsidP="00313744">
            <w:pPr>
              <w:ind w:left="180" w:hanging="180"/>
            </w:pPr>
            <w:r>
              <w:t>9. How have past CIPs contributed to success?</w:t>
            </w:r>
          </w:p>
        </w:tc>
        <w:tc>
          <w:tcPr>
            <w:tcW w:w="1347" w:type="dxa"/>
          </w:tcPr>
          <w:p w14:paraId="396FC8F6" w14:textId="4C2EB073" w:rsidR="00313744" w:rsidRDefault="007C6460" w:rsidP="00313744">
            <w:r>
              <w:t>RR</w:t>
            </w:r>
          </w:p>
        </w:tc>
        <w:tc>
          <w:tcPr>
            <w:tcW w:w="1381" w:type="dxa"/>
          </w:tcPr>
          <w:p w14:paraId="107D570B" w14:textId="02B767DF" w:rsidR="00313744" w:rsidRDefault="007C6460" w:rsidP="00313744">
            <w:r>
              <w:t>RR</w:t>
            </w:r>
          </w:p>
        </w:tc>
        <w:tc>
          <w:tcPr>
            <w:tcW w:w="1685" w:type="dxa"/>
          </w:tcPr>
          <w:p w14:paraId="3380F406" w14:textId="33F52261" w:rsidR="00313744" w:rsidRDefault="007C6460" w:rsidP="00313744">
            <w:r>
              <w:t>RR</w:t>
            </w:r>
          </w:p>
        </w:tc>
        <w:tc>
          <w:tcPr>
            <w:tcW w:w="1596" w:type="dxa"/>
          </w:tcPr>
          <w:p w14:paraId="751E5867" w14:textId="28FB91CB" w:rsidR="00313744" w:rsidRDefault="007C6460" w:rsidP="00313744">
            <w:r>
              <w:t>RR</w:t>
            </w:r>
          </w:p>
        </w:tc>
        <w:tc>
          <w:tcPr>
            <w:tcW w:w="4895" w:type="dxa"/>
          </w:tcPr>
          <w:p w14:paraId="5F486297" w14:textId="6CD6C374" w:rsidR="007C6460" w:rsidRDefault="00B24303" w:rsidP="002F47AF">
            <w:pPr>
              <w:pStyle w:val="ListParagraph"/>
              <w:numPr>
                <w:ilvl w:val="0"/>
                <w:numId w:val="13"/>
              </w:numPr>
              <w:spacing w:after="120"/>
              <w:contextualSpacing w:val="0"/>
            </w:pPr>
            <w:r>
              <w:t xml:space="preserve">I do not see any discussion of </w:t>
            </w:r>
            <w:r w:rsidR="007C6460">
              <w:t xml:space="preserve">specific </w:t>
            </w:r>
            <w:r>
              <w:t>student outcomes in terms of</w:t>
            </w:r>
            <w:r w:rsidR="007C6460">
              <w:t xml:space="preserve"> numbers or qualitative measurement (i.e., no measurement of Unit’s </w:t>
            </w:r>
            <w:r w:rsidR="007C6460">
              <w:lastRenderedPageBreak/>
              <w:t xml:space="preserve">impact on student recruitment for new campuses).  </w:t>
            </w:r>
          </w:p>
          <w:p w14:paraId="28325989" w14:textId="3F17A3CF" w:rsidR="002F47AF" w:rsidRPr="004B4D58" w:rsidRDefault="007C6460" w:rsidP="002F47AF">
            <w:pPr>
              <w:pStyle w:val="ListParagraph"/>
              <w:numPr>
                <w:ilvl w:val="0"/>
                <w:numId w:val="13"/>
              </w:numPr>
              <w:spacing w:after="120"/>
              <w:contextualSpacing w:val="0"/>
            </w:pPr>
            <w:r>
              <w:t xml:space="preserve">The portions </w:t>
            </w:r>
            <w:r w:rsidR="002F47AF">
              <w:t xml:space="preserve">of this section </w:t>
            </w:r>
            <w:r>
              <w:t xml:space="preserve">on Goals 1 and </w:t>
            </w:r>
            <w:r w:rsidR="002F47AF">
              <w:t>2</w:t>
            </w:r>
            <w:r>
              <w:t xml:space="preserve"> do not seem to engage with improvement but rather </w:t>
            </w:r>
            <w:r w:rsidR="002F47AF">
              <w:t xml:space="preserve">to </w:t>
            </w:r>
            <w:r>
              <w:t>convey College Leadership’s required change of “goals” – which are really targeted directives of work not a measurable goals--and Unit’s output in relation to those “goals</w:t>
            </w:r>
            <w:r w:rsidR="002F47AF">
              <w:t>.”</w:t>
            </w:r>
          </w:p>
        </w:tc>
      </w:tr>
      <w:tr w:rsidR="00313744" w14:paraId="6B4A026D" w14:textId="77777777" w:rsidTr="00313744">
        <w:tc>
          <w:tcPr>
            <w:tcW w:w="3401" w:type="dxa"/>
          </w:tcPr>
          <w:p w14:paraId="0AD66825" w14:textId="77777777" w:rsidR="00313744" w:rsidRDefault="00313744" w:rsidP="00313744">
            <w:pPr>
              <w:ind w:left="180" w:hanging="180"/>
            </w:pPr>
            <w:r>
              <w:lastRenderedPageBreak/>
              <w:t>10.  How will the unit evaluate its success?</w:t>
            </w:r>
          </w:p>
        </w:tc>
        <w:tc>
          <w:tcPr>
            <w:tcW w:w="1347" w:type="dxa"/>
          </w:tcPr>
          <w:p w14:paraId="5E65FD7A" w14:textId="422086E9" w:rsidR="00313744" w:rsidRDefault="002F47AF" w:rsidP="00313744">
            <w:r>
              <w:t>RR</w:t>
            </w:r>
          </w:p>
        </w:tc>
        <w:tc>
          <w:tcPr>
            <w:tcW w:w="1381" w:type="dxa"/>
          </w:tcPr>
          <w:p w14:paraId="09BA0757" w14:textId="45045997" w:rsidR="00313744" w:rsidRDefault="002F47AF" w:rsidP="00313744">
            <w:r w:rsidRPr="002F47AF">
              <w:t>RR</w:t>
            </w:r>
          </w:p>
        </w:tc>
        <w:tc>
          <w:tcPr>
            <w:tcW w:w="1685" w:type="dxa"/>
          </w:tcPr>
          <w:p w14:paraId="40B85C2A" w14:textId="2D8AC9ED" w:rsidR="00313744" w:rsidRDefault="002F47AF" w:rsidP="00313744">
            <w:r w:rsidRPr="002F47AF">
              <w:t>RR</w:t>
            </w:r>
          </w:p>
        </w:tc>
        <w:tc>
          <w:tcPr>
            <w:tcW w:w="1596" w:type="dxa"/>
          </w:tcPr>
          <w:p w14:paraId="7BB47CA3" w14:textId="747951A7" w:rsidR="00313744" w:rsidRDefault="002F47AF" w:rsidP="00313744">
            <w:r w:rsidRPr="002F47AF">
              <w:t>RR</w:t>
            </w:r>
          </w:p>
        </w:tc>
        <w:tc>
          <w:tcPr>
            <w:tcW w:w="4895" w:type="dxa"/>
          </w:tcPr>
          <w:p w14:paraId="0165B011" w14:textId="77777777" w:rsidR="002F47AF" w:rsidRDefault="002F47AF" w:rsidP="00313744">
            <w:r w:rsidRPr="002F47AF">
              <w:t>I do not think the Unit</w:t>
            </w:r>
            <w:r>
              <w:t xml:space="preserve"> understands the language/terms of CIP.</w:t>
            </w:r>
          </w:p>
          <w:p w14:paraId="2C1C2A83" w14:textId="0FF49E80" w:rsidR="002F47AF" w:rsidRDefault="002F47AF" w:rsidP="00313744">
            <w:r>
              <w:t>Their expected outcomes sound like aspirational goals.</w:t>
            </w:r>
          </w:p>
          <w:p w14:paraId="61D4B590" w14:textId="5CE14290" w:rsidR="002F47AF" w:rsidRDefault="002F47AF" w:rsidP="00313744">
            <w:r>
              <w:t>The measures convey no actual instrument of measurement.</w:t>
            </w:r>
          </w:p>
          <w:p w14:paraId="646ED452" w14:textId="67092722" w:rsidR="002F47AF" w:rsidRDefault="002F47AF" w:rsidP="00313744">
            <w:r>
              <w:t>The targets focus on outputs and not outcomes.</w:t>
            </w:r>
          </w:p>
          <w:p w14:paraId="561E810F" w14:textId="36715517" w:rsidR="00313744" w:rsidRDefault="00313744" w:rsidP="00313744"/>
        </w:tc>
      </w:tr>
      <w:tr w:rsidR="00313744" w14:paraId="4FE09B37" w14:textId="77777777" w:rsidTr="00313744">
        <w:tc>
          <w:tcPr>
            <w:tcW w:w="3401" w:type="dxa"/>
          </w:tcPr>
          <w:p w14:paraId="114BF19B" w14:textId="77777777" w:rsidR="00313744" w:rsidRDefault="00313744" w:rsidP="00313744">
            <w:pPr>
              <w:ind w:left="180" w:hanging="180"/>
            </w:pPr>
            <w:r>
              <w:t>11. Future Continuous Improvement Plan Tables</w:t>
            </w:r>
          </w:p>
          <w:p w14:paraId="29809144" w14:textId="77777777" w:rsidR="00313744" w:rsidRDefault="00313744" w:rsidP="00313744">
            <w:pPr>
              <w:ind w:left="180" w:hanging="180"/>
            </w:pPr>
          </w:p>
        </w:tc>
        <w:tc>
          <w:tcPr>
            <w:tcW w:w="1347" w:type="dxa"/>
          </w:tcPr>
          <w:p w14:paraId="44519BE5" w14:textId="290A7488" w:rsidR="00313744" w:rsidRDefault="002F47AF" w:rsidP="00313744">
            <w:r>
              <w:t>RR</w:t>
            </w:r>
          </w:p>
        </w:tc>
        <w:tc>
          <w:tcPr>
            <w:tcW w:w="1381" w:type="dxa"/>
            <w:shd w:val="clear" w:color="auto" w:fill="808080" w:themeFill="background1" w:themeFillShade="80"/>
          </w:tcPr>
          <w:p w14:paraId="09D670E5" w14:textId="77777777" w:rsidR="00313744" w:rsidRDefault="00313744" w:rsidP="00313744"/>
        </w:tc>
        <w:tc>
          <w:tcPr>
            <w:tcW w:w="1685" w:type="dxa"/>
            <w:shd w:val="clear" w:color="auto" w:fill="808080" w:themeFill="background1" w:themeFillShade="80"/>
          </w:tcPr>
          <w:p w14:paraId="02B5A65C" w14:textId="77777777" w:rsidR="00313744" w:rsidRDefault="00313744" w:rsidP="00313744"/>
        </w:tc>
        <w:tc>
          <w:tcPr>
            <w:tcW w:w="1596" w:type="dxa"/>
          </w:tcPr>
          <w:p w14:paraId="0DBBCE7F" w14:textId="61454B3F" w:rsidR="00313744" w:rsidRDefault="002F47AF" w:rsidP="00313744">
            <w:r>
              <w:t>RR</w:t>
            </w:r>
          </w:p>
        </w:tc>
        <w:tc>
          <w:tcPr>
            <w:tcW w:w="4895" w:type="dxa"/>
          </w:tcPr>
          <w:p w14:paraId="43E60005" w14:textId="77777777" w:rsidR="002F47AF" w:rsidRDefault="002F47AF" w:rsidP="002F47AF">
            <w:r>
              <w:t>I do not think the Unit understands the language/terms of CIP.</w:t>
            </w:r>
          </w:p>
          <w:p w14:paraId="699B8AF8" w14:textId="77777777" w:rsidR="002F47AF" w:rsidRDefault="002F47AF" w:rsidP="002F47AF">
            <w:r>
              <w:t>Their expected outcomes sound like aspirational goals.</w:t>
            </w:r>
          </w:p>
          <w:p w14:paraId="0F2F2D0E" w14:textId="77777777" w:rsidR="002F47AF" w:rsidRDefault="002F47AF" w:rsidP="002F47AF">
            <w:r>
              <w:t>The measures convey no actual instrument of measurement.</w:t>
            </w:r>
          </w:p>
          <w:p w14:paraId="78EDA505" w14:textId="1FE02736" w:rsidR="00313744" w:rsidRDefault="002F47AF" w:rsidP="002F47AF">
            <w:r>
              <w:t>The targets focus on outputs and not outcomes.</w:t>
            </w:r>
          </w:p>
        </w:tc>
      </w:tr>
    </w:tbl>
    <w:p w14:paraId="76AF641E" w14:textId="77777777" w:rsidR="00287D3E" w:rsidRDefault="00287D3E" w:rsidP="00313B9A"/>
    <w:p w14:paraId="41A0DC9E" w14:textId="77777777" w:rsidR="006761AD" w:rsidRPr="00865A44" w:rsidRDefault="006761AD" w:rsidP="006761AD">
      <w:pPr>
        <w:rPr>
          <w:rFonts w:ascii="Calibri" w:eastAsia="Calibri" w:hAnsi="Calibri" w:cs="Times New Roman"/>
        </w:rPr>
      </w:pPr>
    </w:p>
    <w:p w14:paraId="533C6DD7" w14:textId="77777777" w:rsidR="006761AD" w:rsidRPr="00101233" w:rsidRDefault="006761AD" w:rsidP="006761AD">
      <w:pPr>
        <w:rPr>
          <w:rFonts w:ascii="Calibri" w:eastAsia="Calibri" w:hAnsi="Calibri" w:cs="Times New Roman"/>
          <w:b/>
          <w:sz w:val="28"/>
          <w:szCs w:val="28"/>
        </w:rPr>
      </w:pPr>
      <w:r w:rsidRPr="00101233">
        <w:rPr>
          <w:rFonts w:ascii="Calibri" w:eastAsia="Calibri" w:hAnsi="Calibri" w:cs="Times New Roman"/>
          <w:b/>
          <w:sz w:val="28"/>
          <w:szCs w:val="28"/>
        </w:rPr>
        <w:lastRenderedPageBreak/>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gridCol w:w="3060"/>
      </w:tblGrid>
      <w:tr w:rsidR="006761AD" w:rsidRPr="00865A44" w14:paraId="47EF5BEE" w14:textId="77777777" w:rsidTr="006855C6">
        <w:tc>
          <w:tcPr>
            <w:tcW w:w="4590" w:type="dxa"/>
          </w:tcPr>
          <w:p w14:paraId="504EC625" w14:textId="77777777" w:rsidR="006761AD" w:rsidRPr="00865A44" w:rsidRDefault="006855C6" w:rsidP="007C4434">
            <w:pPr>
              <w:jc w:val="center"/>
              <w:rPr>
                <w:sz w:val="24"/>
                <w:szCs w:val="24"/>
              </w:rPr>
            </w:pPr>
            <w:r>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Accepted Without Recommendations</w:t>
            </w:r>
          </w:p>
        </w:tc>
        <w:tc>
          <w:tcPr>
            <w:tcW w:w="4590" w:type="dxa"/>
          </w:tcPr>
          <w:p w14:paraId="791448A3" w14:textId="77777777" w:rsidR="006761AD" w:rsidRPr="00865A44" w:rsidRDefault="006855C6"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 xml:space="preserve"> </w:t>
            </w:r>
            <w:r w:rsidR="006761AD">
              <w:rPr>
                <w:rFonts w:ascii="Calibri" w:eastAsia="Calibri" w:hAnsi="Calibri" w:cs="Times New Roman"/>
                <w:sz w:val="24"/>
                <w:szCs w:val="24"/>
              </w:rPr>
              <w:t>Accepted W</w:t>
            </w:r>
            <w:r w:rsidR="006761AD" w:rsidRPr="00865A44">
              <w:rPr>
                <w:rFonts w:ascii="Calibri" w:eastAsia="Calibri" w:hAnsi="Calibri" w:cs="Times New Roman"/>
                <w:sz w:val="24"/>
                <w:szCs w:val="24"/>
              </w:rPr>
              <w:t>ith Recommendations</w:t>
            </w:r>
          </w:p>
        </w:tc>
        <w:tc>
          <w:tcPr>
            <w:tcW w:w="3060" w:type="dxa"/>
          </w:tcPr>
          <w:p w14:paraId="1A339532" w14:textId="77777777" w:rsidR="006761AD" w:rsidRPr="00865A44" w:rsidRDefault="006855C6"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Revisit and Revise</w:t>
            </w:r>
          </w:p>
        </w:tc>
      </w:tr>
    </w:tbl>
    <w:p w14:paraId="44A69F37" w14:textId="77777777" w:rsidR="006761AD" w:rsidRDefault="006761AD" w:rsidP="006761AD">
      <w:pPr>
        <w:jc w:val="center"/>
      </w:pPr>
    </w:p>
    <w:p w14:paraId="4736CE15" w14:textId="77777777" w:rsidR="006761AD" w:rsidRDefault="006761AD" w:rsidP="006761AD"/>
    <w:p w14:paraId="1C8CD1F3" w14:textId="77777777" w:rsidR="006761AD" w:rsidRPr="00101233" w:rsidRDefault="006761AD" w:rsidP="006761AD">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45D1F259" wp14:editId="224B233D">
                <wp:simplePos x="0" y="0"/>
                <wp:positionH relativeFrom="column">
                  <wp:posOffset>0</wp:posOffset>
                </wp:positionH>
                <wp:positionV relativeFrom="paragraph">
                  <wp:posOffset>235585</wp:posOffset>
                </wp:positionV>
                <wp:extent cx="849630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28850"/>
                        </a:xfrm>
                        <a:prstGeom prst="rect">
                          <a:avLst/>
                        </a:prstGeom>
                        <a:solidFill>
                          <a:srgbClr val="FFFFFF"/>
                        </a:solidFill>
                        <a:ln w="9525">
                          <a:solidFill>
                            <a:schemeClr val="tx1"/>
                          </a:solidFill>
                          <a:miter lim="800000"/>
                          <a:headEnd/>
                          <a:tailEnd/>
                        </a:ln>
                      </wps:spPr>
                      <wps:txbx>
                        <w:txbxContent>
                          <w:p w14:paraId="0CAA5354" w14:textId="77777777" w:rsidR="006761AD" w:rsidRDefault="006761AD" w:rsidP="00676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5D1F259" id="_x0000_t202" coordsize="21600,21600" o:spt="202" path="m,l,21600r21600,l21600,xe">
                <v:stroke joinstyle="miter"/>
                <v:path gradientshapeok="t" o:connecttype="rect"/>
              </v:shapetype>
              <v:shape id="Text Box 2" o:spid="_x0000_s1026" type="#_x0000_t202" style="position:absolute;margin-left:0;margin-top:18.55pt;width:669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" strokecolor="black [3213]">
                <v:textbox>
                  <w:txbxContent>
                    <w:p w14:paraId="0CAA5354" w14:textId="77777777" w:rsidR="006761AD" w:rsidRDefault="006761AD" w:rsidP="006761AD"/>
                  </w:txbxContent>
                </v:textbox>
                <w10:wrap type="square"/>
              </v:shape>
            </w:pict>
          </mc:Fallback>
        </mc:AlternateContent>
      </w:r>
      <w:r w:rsidRPr="00101233">
        <w:rPr>
          <w:b/>
        </w:rPr>
        <w:t>General comments about the submission or rationale for the conclusion:</w:t>
      </w:r>
    </w:p>
    <w:p w14:paraId="7D4B6C7E" w14:textId="77777777" w:rsidR="006761AD" w:rsidRDefault="006761AD" w:rsidP="006761AD">
      <w:pPr>
        <w:rPr>
          <w:sz w:val="20"/>
          <w:szCs w:val="20"/>
        </w:rPr>
      </w:pPr>
    </w:p>
    <w:p w14:paraId="518E19B4" w14:textId="77777777" w:rsidR="006761AD" w:rsidRDefault="006761AD" w:rsidP="00313B9A"/>
    <w:sectPr w:rsidR="006761AD" w:rsidSect="00F32CB1">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5941" w14:textId="77777777" w:rsidR="00633226" w:rsidRDefault="00633226" w:rsidP="00FA0207">
      <w:pPr>
        <w:spacing w:after="0" w:line="240" w:lineRule="auto"/>
      </w:pPr>
      <w:r>
        <w:separator/>
      </w:r>
    </w:p>
  </w:endnote>
  <w:endnote w:type="continuationSeparator" w:id="0">
    <w:p w14:paraId="3791788D" w14:textId="77777777" w:rsidR="00633226" w:rsidRDefault="00633226" w:rsidP="00FA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7DA9" w14:textId="77777777" w:rsidR="003078A4" w:rsidRDefault="006855C6">
    <w:pPr>
      <w:pStyle w:val="Footer"/>
    </w:pPr>
    <w:r>
      <w:t>Revision 202</w:t>
    </w:r>
    <w:r w:rsidR="00807167">
      <w:t>1</w:t>
    </w:r>
    <w:r w:rsidR="003078A4">
      <w:t>.</w:t>
    </w:r>
    <w:r w:rsidR="006761AD">
      <w:t>0</w:t>
    </w:r>
    <w:r w:rsidR="00807167">
      <w:t>2</w:t>
    </w:r>
    <w:r w:rsidR="003078A4">
      <w:t>.</w:t>
    </w:r>
    <w:r w:rsidR="00807167">
      <w:t>03</w:t>
    </w:r>
    <w:r w:rsidR="0002605E">
      <w:tab/>
    </w:r>
    <w:r w:rsidR="0002605E">
      <w:tab/>
    </w:r>
    <w:r w:rsidR="0002605E">
      <w:tab/>
    </w:r>
    <w:r w:rsidR="0002605E">
      <w:tab/>
    </w:r>
    <w:r w:rsidR="0002605E">
      <w:tab/>
    </w:r>
    <w:r w:rsidR="0002605E">
      <w:tab/>
    </w:r>
    <w:r w:rsidR="0002605E">
      <w:tab/>
      <w:t xml:space="preserve">Page </w:t>
    </w:r>
    <w:r w:rsidR="0002605E">
      <w:fldChar w:fldCharType="begin"/>
    </w:r>
    <w:r w:rsidR="0002605E">
      <w:instrText xml:space="preserve"> PAGE   \* MERGEFORMAT </w:instrText>
    </w:r>
    <w:r w:rsidR="0002605E">
      <w:fldChar w:fldCharType="separate"/>
    </w:r>
    <w:r w:rsidR="00807167">
      <w:rPr>
        <w:noProof/>
      </w:rPr>
      <w:t>2</w:t>
    </w:r>
    <w:r w:rsidR="0002605E">
      <w:rPr>
        <w:noProof/>
      </w:rPr>
      <w:fldChar w:fldCharType="end"/>
    </w:r>
    <w:r w:rsidR="0002605E">
      <w:rPr>
        <w:noProof/>
      </w:rPr>
      <w:t xml:space="preserve"> of </w:t>
    </w:r>
    <w:r w:rsidR="0002605E">
      <w:rPr>
        <w:noProof/>
      </w:rPr>
      <w:fldChar w:fldCharType="begin"/>
    </w:r>
    <w:r w:rsidR="0002605E">
      <w:rPr>
        <w:noProof/>
      </w:rPr>
      <w:instrText xml:space="preserve"> NUMPAGES </w:instrText>
    </w:r>
    <w:r w:rsidR="0002605E">
      <w:rPr>
        <w:noProof/>
      </w:rPr>
      <w:fldChar w:fldCharType="separate"/>
    </w:r>
    <w:r w:rsidR="00807167">
      <w:rPr>
        <w:noProof/>
      </w:rPr>
      <w:t>2</w:t>
    </w:r>
    <w:r w:rsidR="000260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1B91" w14:textId="77777777" w:rsidR="00633226" w:rsidRDefault="00633226" w:rsidP="00FA0207">
      <w:pPr>
        <w:spacing w:after="0" w:line="240" w:lineRule="auto"/>
      </w:pPr>
      <w:r>
        <w:separator/>
      </w:r>
    </w:p>
  </w:footnote>
  <w:footnote w:type="continuationSeparator" w:id="0">
    <w:p w14:paraId="54B19BF3" w14:textId="77777777" w:rsidR="00633226" w:rsidRDefault="00633226" w:rsidP="00FA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F552" w14:textId="77777777" w:rsidR="00FA0207" w:rsidRDefault="00FA0207" w:rsidP="00F22194">
    <w:pPr>
      <w:pStyle w:val="Header"/>
      <w:jc w:val="center"/>
      <w:rPr>
        <w:b/>
        <w:sz w:val="24"/>
        <w:szCs w:val="24"/>
      </w:rPr>
    </w:pPr>
    <w:r w:rsidRPr="00F22194">
      <w:rPr>
        <w:b/>
        <w:noProof/>
        <w:sz w:val="24"/>
        <w:szCs w:val="24"/>
      </w:rPr>
      <w:drawing>
        <wp:anchor distT="0" distB="0" distL="114300" distR="114300" simplePos="0" relativeHeight="251695104" behindDoc="0" locked="0" layoutInCell="1" allowOverlap="1" wp14:anchorId="302C6B7B" wp14:editId="33240EF2">
          <wp:simplePos x="0" y="0"/>
          <wp:positionH relativeFrom="column">
            <wp:posOffset>-299720</wp:posOffset>
          </wp:positionH>
          <wp:positionV relativeFrom="paragraph">
            <wp:posOffset>-328295</wp:posOffset>
          </wp:positionV>
          <wp:extent cx="689610" cy="622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 cy="622300"/>
                  </a:xfrm>
                  <a:prstGeom prst="rect">
                    <a:avLst/>
                  </a:prstGeom>
                </pic:spPr>
              </pic:pic>
            </a:graphicData>
          </a:graphic>
          <wp14:sizeRelH relativeFrom="page">
            <wp14:pctWidth>0</wp14:pctWidth>
          </wp14:sizeRelH>
          <wp14:sizeRelV relativeFrom="page">
            <wp14:pctHeight>0</wp14:pctHeight>
          </wp14:sizeRelV>
        </wp:anchor>
      </w:drawing>
    </w:r>
    <w:r w:rsidRPr="00F22194">
      <w:rPr>
        <w:b/>
        <w:sz w:val="24"/>
        <w:szCs w:val="24"/>
      </w:rPr>
      <w:t>U</w:t>
    </w:r>
    <w:r w:rsidR="00757411">
      <w:rPr>
        <w:b/>
        <w:sz w:val="24"/>
        <w:szCs w:val="24"/>
      </w:rPr>
      <w:t>NIT</w:t>
    </w:r>
    <w:r w:rsidRPr="00F22194">
      <w:rPr>
        <w:b/>
        <w:sz w:val="24"/>
        <w:szCs w:val="24"/>
      </w:rPr>
      <w:t xml:space="preserve"> </w:t>
    </w:r>
    <w:r w:rsidR="00757411">
      <w:rPr>
        <w:b/>
        <w:sz w:val="24"/>
        <w:szCs w:val="24"/>
      </w:rPr>
      <w:t xml:space="preserve">REVIEW </w:t>
    </w:r>
    <w:r w:rsidRPr="00F22194">
      <w:rPr>
        <w:b/>
        <w:sz w:val="24"/>
        <w:szCs w:val="24"/>
      </w:rPr>
      <w:t>C</w:t>
    </w:r>
    <w:r w:rsidR="00757411">
      <w:rPr>
        <w:b/>
        <w:sz w:val="24"/>
        <w:szCs w:val="24"/>
      </w:rPr>
      <w:t>HECKLIST</w:t>
    </w:r>
  </w:p>
  <w:p w14:paraId="02872681" w14:textId="77777777" w:rsidR="006761AD" w:rsidRDefault="006761AD" w:rsidP="00F22194">
    <w:pPr>
      <w:pStyle w:val="Header"/>
      <w:jc w:val="center"/>
      <w:rPr>
        <w:b/>
        <w:sz w:val="24"/>
        <w:szCs w:val="24"/>
      </w:rPr>
    </w:pPr>
  </w:p>
  <w:p w14:paraId="15DCE2EE" w14:textId="77777777" w:rsidR="006761AD" w:rsidRDefault="006761AD" w:rsidP="00F22194">
    <w:pPr>
      <w:pStyle w:val="Header"/>
      <w:jc w:val="center"/>
      <w:rPr>
        <w:b/>
        <w:sz w:val="24"/>
        <w:szCs w:val="24"/>
      </w:rPr>
    </w:pPr>
  </w:p>
  <w:p w14:paraId="55FA838D" w14:textId="65089B77" w:rsidR="006761AD" w:rsidRDefault="006761AD" w:rsidP="006761AD">
    <w:pPr>
      <w:rPr>
        <w:b/>
      </w:rPr>
    </w:pPr>
    <w:r>
      <w:rPr>
        <w:b/>
      </w:rPr>
      <w:t>Unit</w:t>
    </w:r>
    <w:r w:rsidRPr="00A030C9">
      <w:rPr>
        <w:b/>
      </w:rPr>
      <w:t xml:space="preserve"> name</w:t>
    </w:r>
    <w:r>
      <w:rPr>
        <w:b/>
      </w:rPr>
      <w:t xml:space="preserve">: </w:t>
    </w:r>
    <w:r w:rsidRPr="00F32CB1">
      <w:rPr>
        <w:b/>
      </w:rPr>
      <w:t>____</w:t>
    </w:r>
    <w:r w:rsidR="00DE5C3D">
      <w:rPr>
        <w:b/>
      </w:rPr>
      <w:t>Communications (Service Unit)</w:t>
    </w:r>
    <w:r w:rsidRPr="00F32CB1">
      <w:rPr>
        <w:b/>
      </w:rPr>
      <w:t xml:space="preserve">___________________________ </w:t>
    </w:r>
    <w:r>
      <w:rPr>
        <w:b/>
      </w:rPr>
      <w:tab/>
    </w:r>
    <w:r>
      <w:rPr>
        <w:b/>
      </w:rPr>
      <w:tab/>
    </w:r>
    <w:r w:rsidRPr="00647B52">
      <w:t xml:space="preserve"> </w:t>
    </w:r>
    <w:r>
      <w:rPr>
        <w:b/>
      </w:rPr>
      <w:t>Reviewer: ___</w:t>
    </w:r>
    <w:r w:rsidR="00DE5C3D">
      <w:rPr>
        <w:b/>
      </w:rPr>
      <w:t>Cathleen Akers</w:t>
    </w:r>
    <w:r>
      <w:rPr>
        <w:b/>
      </w:rPr>
      <w:t>_______________</w:t>
    </w:r>
    <w:r w:rsidRPr="00F32CB1">
      <w:rPr>
        <w:b/>
        <w:u w:val="single"/>
      </w:rPr>
      <w:tab/>
    </w:r>
    <w:r w:rsidRPr="00F32CB1">
      <w:rPr>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1CF2"/>
    <w:multiLevelType w:val="hybridMultilevel"/>
    <w:tmpl w:val="717052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2F542F"/>
    <w:multiLevelType w:val="hybridMultilevel"/>
    <w:tmpl w:val="B2724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8E51C0"/>
    <w:multiLevelType w:val="hybridMultilevel"/>
    <w:tmpl w:val="265A93A2"/>
    <w:lvl w:ilvl="0" w:tplc="FFFFFFFF">
      <w:start w:val="1"/>
      <w:numFmt w:val="upperLetter"/>
      <w:lvlText w:val="%1."/>
      <w:lvlJc w:val="left"/>
      <w:pPr>
        <w:ind w:left="360" w:hanging="360"/>
      </w:p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A82579"/>
    <w:multiLevelType w:val="hybridMultilevel"/>
    <w:tmpl w:val="E33E7BF4"/>
    <w:lvl w:ilvl="0" w:tplc="FFFFFFFF">
      <w:start w:val="1"/>
      <w:numFmt w:val="decimal"/>
      <w:lvlText w:val="%1."/>
      <w:lvlJc w:val="left"/>
      <w:pPr>
        <w:ind w:left="360" w:hanging="360"/>
      </w:pPr>
    </w:lvl>
    <w:lvl w:ilvl="1" w:tplc="04090019">
      <w:start w:val="1"/>
      <w:numFmt w:val="lowerLetter"/>
      <w:lvlText w:val="%2."/>
      <w:lvlJc w:val="left"/>
      <w:pPr>
        <w:ind w:left="19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BBC3B5A"/>
    <w:multiLevelType w:val="hybridMultilevel"/>
    <w:tmpl w:val="2C74C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3421FE"/>
    <w:multiLevelType w:val="hybridMultilevel"/>
    <w:tmpl w:val="8B0E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726D2"/>
    <w:multiLevelType w:val="hybridMultilevel"/>
    <w:tmpl w:val="BC1060B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7B2FF3"/>
    <w:multiLevelType w:val="hybridMultilevel"/>
    <w:tmpl w:val="E334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00FCF"/>
    <w:multiLevelType w:val="hybridMultilevel"/>
    <w:tmpl w:val="A23A0A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436EF"/>
    <w:multiLevelType w:val="hybridMultilevel"/>
    <w:tmpl w:val="6296A8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6509E3"/>
    <w:multiLevelType w:val="hybridMultilevel"/>
    <w:tmpl w:val="B092449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9">
      <w:start w:val="1"/>
      <w:numFmt w:val="lowerLetter"/>
      <w:lvlText w:val="%3."/>
      <w:lvlJc w:val="left"/>
      <w:pPr>
        <w:ind w:left="1980" w:hanging="36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0917DF"/>
    <w:multiLevelType w:val="hybridMultilevel"/>
    <w:tmpl w:val="F996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67971390">
    <w:abstractNumId w:val="9"/>
  </w:num>
  <w:num w:numId="2" w16cid:durableId="1031494774">
    <w:abstractNumId w:val="7"/>
  </w:num>
  <w:num w:numId="3" w16cid:durableId="28386354">
    <w:abstractNumId w:val="10"/>
  </w:num>
  <w:num w:numId="4" w16cid:durableId="1754085544">
    <w:abstractNumId w:val="0"/>
  </w:num>
  <w:num w:numId="5" w16cid:durableId="166870322">
    <w:abstractNumId w:val="12"/>
  </w:num>
  <w:num w:numId="6" w16cid:durableId="1673528280">
    <w:abstractNumId w:val="11"/>
  </w:num>
  <w:num w:numId="7" w16cid:durableId="1050420798">
    <w:abstractNumId w:val="6"/>
  </w:num>
  <w:num w:numId="8" w16cid:durableId="128477788">
    <w:abstractNumId w:val="1"/>
  </w:num>
  <w:num w:numId="9" w16cid:durableId="144902685">
    <w:abstractNumId w:val="5"/>
  </w:num>
  <w:num w:numId="10" w16cid:durableId="1881240509">
    <w:abstractNumId w:val="2"/>
  </w:num>
  <w:num w:numId="11" w16cid:durableId="1238325929">
    <w:abstractNumId w:val="3"/>
  </w:num>
  <w:num w:numId="12" w16cid:durableId="1605454127">
    <w:abstractNumId w:val="8"/>
  </w:num>
  <w:num w:numId="13" w16cid:durableId="318077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6"/>
    <w:rsid w:val="0002605E"/>
    <w:rsid w:val="0005279E"/>
    <w:rsid w:val="00087C33"/>
    <w:rsid w:val="000C642A"/>
    <w:rsid w:val="000F34DF"/>
    <w:rsid w:val="00116950"/>
    <w:rsid w:val="001A3903"/>
    <w:rsid w:val="001F2CFF"/>
    <w:rsid w:val="00261EDF"/>
    <w:rsid w:val="00287D3E"/>
    <w:rsid w:val="002C37C9"/>
    <w:rsid w:val="002F47AF"/>
    <w:rsid w:val="003078A4"/>
    <w:rsid w:val="00313744"/>
    <w:rsid w:val="00313B9A"/>
    <w:rsid w:val="00322EEC"/>
    <w:rsid w:val="004655F9"/>
    <w:rsid w:val="004B4D58"/>
    <w:rsid w:val="00572EFB"/>
    <w:rsid w:val="005E3D1F"/>
    <w:rsid w:val="005F2368"/>
    <w:rsid w:val="00604216"/>
    <w:rsid w:val="006148C6"/>
    <w:rsid w:val="00624FAE"/>
    <w:rsid w:val="00633226"/>
    <w:rsid w:val="00647B52"/>
    <w:rsid w:val="00665BEB"/>
    <w:rsid w:val="006761AD"/>
    <w:rsid w:val="006855C6"/>
    <w:rsid w:val="006D169C"/>
    <w:rsid w:val="006D5ED4"/>
    <w:rsid w:val="0075232C"/>
    <w:rsid w:val="00757411"/>
    <w:rsid w:val="00763184"/>
    <w:rsid w:val="00764B05"/>
    <w:rsid w:val="007C6460"/>
    <w:rsid w:val="007E4776"/>
    <w:rsid w:val="007F64F0"/>
    <w:rsid w:val="00807167"/>
    <w:rsid w:val="008251FB"/>
    <w:rsid w:val="008851E1"/>
    <w:rsid w:val="008B41CB"/>
    <w:rsid w:val="008E6693"/>
    <w:rsid w:val="008F2B0D"/>
    <w:rsid w:val="009431F1"/>
    <w:rsid w:val="009A51CC"/>
    <w:rsid w:val="009C18F7"/>
    <w:rsid w:val="009D2932"/>
    <w:rsid w:val="009E46C3"/>
    <w:rsid w:val="00A030C9"/>
    <w:rsid w:val="00A40501"/>
    <w:rsid w:val="00A526A4"/>
    <w:rsid w:val="00A6745A"/>
    <w:rsid w:val="00AD42E8"/>
    <w:rsid w:val="00AE5255"/>
    <w:rsid w:val="00AF0C97"/>
    <w:rsid w:val="00B24303"/>
    <w:rsid w:val="00B905DC"/>
    <w:rsid w:val="00BE3FEA"/>
    <w:rsid w:val="00C13D56"/>
    <w:rsid w:val="00C709D8"/>
    <w:rsid w:val="00CA3289"/>
    <w:rsid w:val="00CB79E1"/>
    <w:rsid w:val="00CD1781"/>
    <w:rsid w:val="00CF28BD"/>
    <w:rsid w:val="00D47C6C"/>
    <w:rsid w:val="00D83D9A"/>
    <w:rsid w:val="00DB0D1F"/>
    <w:rsid w:val="00DB4774"/>
    <w:rsid w:val="00DE5C3D"/>
    <w:rsid w:val="00E012A7"/>
    <w:rsid w:val="00E22EAE"/>
    <w:rsid w:val="00E514A1"/>
    <w:rsid w:val="00E96EC7"/>
    <w:rsid w:val="00EA4628"/>
    <w:rsid w:val="00EF6D83"/>
    <w:rsid w:val="00F12C87"/>
    <w:rsid w:val="00F149D7"/>
    <w:rsid w:val="00F22194"/>
    <w:rsid w:val="00F32CB1"/>
    <w:rsid w:val="00F615FE"/>
    <w:rsid w:val="00FA0207"/>
    <w:rsid w:val="00FA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F018"/>
  <w15:docId w15:val="{E7D826DB-D98E-44D8-93FC-9C1B5C45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FA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07"/>
  </w:style>
  <w:style w:type="paragraph" w:styleId="Footer">
    <w:name w:val="footer"/>
    <w:basedOn w:val="Normal"/>
    <w:link w:val="FooterChar"/>
    <w:uiPriority w:val="99"/>
    <w:unhideWhenUsed/>
    <w:rsid w:val="00FA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07"/>
  </w:style>
  <w:style w:type="table" w:customStyle="1" w:styleId="TableGrid1">
    <w:name w:val="Table Grid1"/>
    <w:basedOn w:val="TableNormal"/>
    <w:next w:val="TableGrid"/>
    <w:uiPriority w:val="59"/>
    <w:rsid w:val="0028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FF"/>
    <w:rPr>
      <w:rFonts w:ascii="Segoe UI" w:hAnsi="Segoe UI" w:cs="Segoe UI"/>
      <w:sz w:val="18"/>
      <w:szCs w:val="18"/>
    </w:rPr>
  </w:style>
  <w:style w:type="character" w:styleId="Strong">
    <w:name w:val="Strong"/>
    <w:basedOn w:val="DefaultParagraphFont"/>
    <w:uiPriority w:val="22"/>
    <w:qFormat/>
    <w:rsid w:val="008251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1825</Words>
  <Characters>10404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Service Unit Submission Review PRSC Checklist</vt:lpstr>
    </vt:vector>
  </TitlesOfParts>
  <Company>CCCCD</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Submission Review PRSC Checklist</dc:title>
  <dc:creator>Institutional Effectiveness</dc:creator>
  <cp:lastModifiedBy>Bridgette Kirkpatrick</cp:lastModifiedBy>
  <cp:revision>2</cp:revision>
  <cp:lastPrinted>2016-01-08T15:56:00Z</cp:lastPrinted>
  <dcterms:created xsi:type="dcterms:W3CDTF">2023-04-11T14:46:00Z</dcterms:created>
  <dcterms:modified xsi:type="dcterms:W3CDTF">2023-04-11T14:46:00Z</dcterms:modified>
</cp:coreProperties>
</file>