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8C6AD9">
        <w:rPr>
          <w:rFonts w:ascii="Arial" w:hAnsi="Arial" w:cs="Arial"/>
          <w:b/>
        </w:rPr>
        <w:t>:  2/26/2024</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9055F0">
        <w:rPr>
          <w:rFonts w:ascii="Arial" w:hAnsi="Arial" w:cs="Arial"/>
          <w:b/>
        </w:rPr>
        <w:t>Business Services</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B44575">
        <w:rPr>
          <w:rFonts w:ascii="Arial" w:hAnsi="Arial" w:cs="Arial"/>
        </w:rPr>
        <w:t>Julie Bradley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B44575">
        <w:rPr>
          <w:rFonts w:ascii="Arial" w:hAnsi="Arial" w:cs="Arial"/>
        </w:rPr>
        <w:t>jbradley@collin.edu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B44575">
        <w:rPr>
          <w:rFonts w:ascii="Arial" w:hAnsi="Arial" w:cs="Arial"/>
          <w:b/>
        </w:rPr>
        <w:t>972-758-3821</w:t>
      </w:r>
      <w:r w:rsidR="00C10B61">
        <w:rPr>
          <w:rFonts w:ascii="Arial" w:hAnsi="Arial" w:cs="Arial"/>
        </w:rPr>
        <w:t xml:space="preserve"> </w:t>
      </w:r>
      <w:r w:rsidRPr="00210107">
        <w:rPr>
          <w:rFonts w:ascii="Arial" w:hAnsi="Arial" w:cs="Arial"/>
        </w:rPr>
        <w:t xml:space="preserve">  </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860"/>
        <w:gridCol w:w="4722"/>
      </w:tblGrid>
      <w:tr w:rsidR="00F25D44" w:rsidRPr="00210107" w:rsidTr="002F5450">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722"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w:t>
            </w:r>
            <w:r w:rsidR="00E94970">
              <w:rPr>
                <w:rFonts w:ascii="Arial" w:eastAsia="Calibri" w:hAnsi="Arial" w:cs="Arial"/>
                <w:sz w:val="20"/>
                <w:szCs w:val="20"/>
              </w:rPr>
              <w:t>-</w:t>
            </w:r>
            <w:r w:rsidRPr="00210107">
              <w:rPr>
                <w:rFonts w:ascii="Arial" w:eastAsia="Calibri" w:hAnsi="Arial" w:cs="Arial"/>
                <w:sz w:val="20"/>
                <w:szCs w:val="20"/>
              </w:rPr>
              <w:t>day faster request turn-around time, etc.)</w:t>
            </w:r>
          </w:p>
        </w:tc>
      </w:tr>
      <w:tr w:rsidR="00F25D44" w:rsidRPr="00210107" w:rsidTr="002F5450">
        <w:trPr>
          <w:trHeight w:hRule="exact" w:val="166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B44575" w:rsidP="009F702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Update and revise </w:t>
            </w:r>
            <w:r w:rsidR="006672D5">
              <w:rPr>
                <w:rFonts w:ascii="Arial" w:eastAsia="Franklin Gothic Book" w:hAnsi="Arial" w:cs="Arial"/>
                <w:sz w:val="20"/>
                <w:szCs w:val="20"/>
              </w:rPr>
              <w:t xml:space="preserve">written </w:t>
            </w:r>
            <w:r>
              <w:rPr>
                <w:rFonts w:ascii="Arial" w:eastAsia="Franklin Gothic Book" w:hAnsi="Arial" w:cs="Arial"/>
                <w:sz w:val="20"/>
                <w:szCs w:val="20"/>
              </w:rPr>
              <w:t>procedures to incorporate changes due to implementation of Workday. This will provide users with a better understanding</w:t>
            </w:r>
            <w:r w:rsidR="006672D5">
              <w:rPr>
                <w:rFonts w:ascii="Arial" w:eastAsia="Franklin Gothic Book" w:hAnsi="Arial" w:cs="Arial"/>
                <w:sz w:val="20"/>
                <w:szCs w:val="20"/>
              </w:rPr>
              <w:t xml:space="preserve"> of</w:t>
            </w:r>
            <w:r>
              <w:rPr>
                <w:rFonts w:ascii="Arial" w:eastAsia="Franklin Gothic Book" w:hAnsi="Arial" w:cs="Arial"/>
                <w:sz w:val="20"/>
                <w:szCs w:val="20"/>
              </w:rPr>
              <w:t xml:space="preserve"> </w:t>
            </w:r>
            <w:r w:rsidR="006672D5">
              <w:rPr>
                <w:rFonts w:ascii="Arial" w:eastAsia="Franklin Gothic Book" w:hAnsi="Arial" w:cs="Arial"/>
                <w:sz w:val="20"/>
                <w:szCs w:val="20"/>
              </w:rPr>
              <w:t xml:space="preserve">how utilize system for optimal </w:t>
            </w:r>
            <w:r>
              <w:rPr>
                <w:rFonts w:ascii="Arial" w:eastAsia="Franklin Gothic Book" w:hAnsi="Arial" w:cs="Arial"/>
                <w:sz w:val="20"/>
                <w:szCs w:val="20"/>
              </w:rPr>
              <w:t>processing of transactions effecting students, suppliers, employees and other external customers.</w:t>
            </w:r>
          </w:p>
        </w:tc>
        <w:tc>
          <w:tcPr>
            <w:tcW w:w="486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B44575" w:rsidP="002F5450">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Improved processing time for payment to suppliers, customer, students, employees</w:t>
            </w:r>
            <w:r w:rsidR="006672D5">
              <w:rPr>
                <w:rFonts w:ascii="Arial" w:eastAsia="Franklin Gothic Book" w:hAnsi="Arial" w:cs="Arial"/>
                <w:sz w:val="20"/>
                <w:szCs w:val="20"/>
              </w:rPr>
              <w:t xml:space="preserve"> based quantifiable data</w:t>
            </w:r>
            <w:r w:rsidR="009A0AE9">
              <w:rPr>
                <w:rFonts w:ascii="Arial" w:eastAsia="Franklin Gothic Book" w:hAnsi="Arial" w:cs="Arial"/>
                <w:sz w:val="20"/>
                <w:szCs w:val="20"/>
              </w:rPr>
              <w:t>, including aging reports.</w:t>
            </w:r>
            <w:r>
              <w:rPr>
                <w:rFonts w:ascii="Arial" w:eastAsia="Franklin Gothic Book" w:hAnsi="Arial" w:cs="Arial"/>
                <w:sz w:val="20"/>
                <w:szCs w:val="20"/>
              </w:rPr>
              <w:t xml:space="preserve">  Improved </w:t>
            </w:r>
            <w:r w:rsidR="006672D5">
              <w:rPr>
                <w:rFonts w:ascii="Arial" w:eastAsia="Franklin Gothic Book" w:hAnsi="Arial" w:cs="Arial"/>
                <w:sz w:val="20"/>
                <w:szCs w:val="20"/>
              </w:rPr>
              <w:t>experience for end users as revealed from surveys.</w:t>
            </w:r>
          </w:p>
        </w:tc>
        <w:tc>
          <w:tcPr>
            <w:tcW w:w="472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2F5450" w:rsidRPr="002F5450" w:rsidRDefault="002F5450" w:rsidP="002F5450">
            <w:pPr>
              <w:pStyle w:val="NoSpacing"/>
              <w:rPr>
                <w:rFonts w:ascii="Arial" w:hAnsi="Arial" w:cs="Arial"/>
                <w:sz w:val="20"/>
                <w:szCs w:val="20"/>
              </w:rPr>
            </w:pPr>
            <w:r w:rsidRPr="002F5450">
              <w:rPr>
                <w:rFonts w:ascii="Arial" w:hAnsi="Arial" w:cs="Arial"/>
                <w:sz w:val="20"/>
                <w:szCs w:val="20"/>
              </w:rPr>
              <w:t>Pay within 30 days or sooner for matched transactions. Reduce payment time by 10%.</w:t>
            </w:r>
          </w:p>
          <w:p w:rsidR="009F702B" w:rsidRPr="00210107" w:rsidRDefault="009F702B" w:rsidP="00761D43">
            <w:pPr>
              <w:pStyle w:val="NoSpacing"/>
              <w:rPr>
                <w:rFonts w:ascii="Arial" w:hAnsi="Arial" w:cs="Arial"/>
                <w:sz w:val="20"/>
                <w:szCs w:val="20"/>
              </w:rPr>
            </w:pPr>
          </w:p>
        </w:tc>
      </w:tr>
      <w:tr w:rsidR="00D87631" w:rsidRPr="00210107" w:rsidTr="002F5450">
        <w:trPr>
          <w:trHeight w:hRule="exact" w:val="1217"/>
        </w:trPr>
        <w:tc>
          <w:tcPr>
            <w:tcW w:w="4140" w:type="dxa"/>
            <w:tcBorders>
              <w:top w:val="single" w:sz="8" w:space="0" w:color="4F81BD"/>
              <w:left w:val="single" w:sz="8" w:space="0" w:color="4F81BD"/>
              <w:bottom w:val="single" w:sz="8" w:space="0" w:color="4F81BD"/>
              <w:right w:val="single" w:sz="8" w:space="0" w:color="4F81BD"/>
            </w:tcBorders>
          </w:tcPr>
          <w:p w:rsidR="00D87631" w:rsidRPr="00210107" w:rsidRDefault="006672D5"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Training to external users to assist with understanding Workday, particularly expense reports, and spend authorization, T-Card transactions</w:t>
            </w:r>
            <w:r w:rsidR="009A0AE9">
              <w:rPr>
                <w:rFonts w:ascii="Arial" w:eastAsia="Franklin Gothic Book" w:hAnsi="Arial" w:cs="Arial"/>
                <w:sz w:val="20"/>
                <w:szCs w:val="20"/>
              </w:rPr>
              <w:t>, and Supplier Invoice Requests</w:t>
            </w:r>
            <w:r>
              <w:rPr>
                <w:rFonts w:ascii="Arial" w:eastAsia="Franklin Gothic Book" w:hAnsi="Arial" w:cs="Arial"/>
                <w:sz w:val="20"/>
                <w:szCs w:val="20"/>
              </w:rPr>
              <w:t>.</w:t>
            </w:r>
          </w:p>
        </w:tc>
        <w:tc>
          <w:tcPr>
            <w:tcW w:w="4860" w:type="dxa"/>
            <w:tcBorders>
              <w:top w:val="single" w:sz="8" w:space="0" w:color="4F81BD"/>
              <w:left w:val="single" w:sz="8" w:space="0" w:color="4F81BD"/>
              <w:bottom w:val="single" w:sz="8" w:space="0" w:color="4F81BD"/>
              <w:right w:val="single" w:sz="8" w:space="0" w:color="4F81BD"/>
            </w:tcBorders>
          </w:tcPr>
          <w:p w:rsidR="00D87631" w:rsidRPr="00210107" w:rsidRDefault="006672D5" w:rsidP="006672D5">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Improved processing time for payment to end users</w:t>
            </w:r>
            <w:r w:rsidR="009A0AE9">
              <w:rPr>
                <w:rFonts w:ascii="Arial" w:eastAsia="Franklin Gothic Book" w:hAnsi="Arial" w:cs="Arial"/>
                <w:sz w:val="20"/>
                <w:szCs w:val="20"/>
              </w:rPr>
              <w:t>, utilizing various aging reports, including Expense Report Lifecycle</w:t>
            </w:r>
            <w:r w:rsidR="001B42F6">
              <w:rPr>
                <w:rFonts w:ascii="Arial" w:eastAsia="Franklin Gothic Book" w:hAnsi="Arial" w:cs="Arial"/>
                <w:sz w:val="20"/>
                <w:szCs w:val="20"/>
              </w:rPr>
              <w:t>, AP aging reports.</w:t>
            </w:r>
          </w:p>
        </w:tc>
        <w:tc>
          <w:tcPr>
            <w:tcW w:w="4722" w:type="dxa"/>
            <w:tcBorders>
              <w:top w:val="single" w:sz="8" w:space="0" w:color="4F81BD"/>
              <w:left w:val="single" w:sz="8" w:space="0" w:color="4F81BD"/>
              <w:bottom w:val="single" w:sz="8" w:space="0" w:color="4F81BD"/>
              <w:right w:val="single" w:sz="8" w:space="0" w:color="4F81BD"/>
            </w:tcBorders>
          </w:tcPr>
          <w:p w:rsidR="00D87631" w:rsidRPr="00210107" w:rsidRDefault="00216AB3" w:rsidP="00D87631">
            <w:pPr>
              <w:pStyle w:val="NoSpacing"/>
              <w:rPr>
                <w:rFonts w:ascii="Arial" w:hAnsi="Arial" w:cs="Arial"/>
                <w:sz w:val="20"/>
                <w:szCs w:val="20"/>
              </w:rPr>
            </w:pPr>
            <w:r w:rsidRPr="002F5450">
              <w:rPr>
                <w:rFonts w:ascii="Arial" w:hAnsi="Arial" w:cs="Arial"/>
                <w:sz w:val="20"/>
                <w:szCs w:val="20"/>
              </w:rPr>
              <w:t>Reduce payment time by 10%.</w:t>
            </w:r>
          </w:p>
        </w:tc>
      </w:tr>
      <w:tr w:rsidR="00F25D44" w:rsidRPr="00210107" w:rsidTr="002F5450">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2F5450" w:rsidP="00517E19">
            <w:pPr>
              <w:pStyle w:val="NoSpacing"/>
              <w:rPr>
                <w:rFonts w:ascii="Arial" w:hAnsi="Arial" w:cs="Arial"/>
                <w:sz w:val="20"/>
                <w:szCs w:val="20"/>
              </w:rPr>
            </w:pPr>
            <w:r>
              <w:rPr>
                <w:rFonts w:ascii="Arial" w:hAnsi="Arial" w:cs="Arial"/>
                <w:sz w:val="20"/>
                <w:szCs w:val="20"/>
              </w:rPr>
              <w:t xml:space="preserve">Identify unmet needs for utilization and reporting purposes and modify dashboards to assist end users.  </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2F5450" w:rsidP="00517E19">
            <w:pPr>
              <w:pStyle w:val="NoSpacing"/>
              <w:rPr>
                <w:rFonts w:ascii="Arial" w:hAnsi="Arial" w:cs="Arial"/>
                <w:sz w:val="20"/>
                <w:szCs w:val="20"/>
              </w:rPr>
            </w:pPr>
            <w:r>
              <w:rPr>
                <w:rFonts w:ascii="Arial" w:hAnsi="Arial" w:cs="Arial"/>
                <w:sz w:val="20"/>
                <w:szCs w:val="20"/>
              </w:rPr>
              <w:t>Develop/modify dashboard</w:t>
            </w:r>
            <w:r w:rsidR="00AB27F7">
              <w:rPr>
                <w:rFonts w:ascii="Arial" w:hAnsi="Arial" w:cs="Arial"/>
                <w:sz w:val="20"/>
                <w:szCs w:val="20"/>
              </w:rPr>
              <w:t xml:space="preserve"> based on feedback from questionnaire.</w:t>
            </w:r>
          </w:p>
        </w:tc>
        <w:tc>
          <w:tcPr>
            <w:tcW w:w="472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216AB3" w:rsidP="00517E19">
            <w:pPr>
              <w:pStyle w:val="NoSpacing"/>
              <w:rPr>
                <w:rFonts w:ascii="Arial" w:hAnsi="Arial" w:cs="Arial"/>
                <w:sz w:val="20"/>
                <w:szCs w:val="20"/>
              </w:rPr>
            </w:pPr>
            <w:r>
              <w:rPr>
                <w:rFonts w:ascii="Arial" w:hAnsi="Arial" w:cs="Arial"/>
                <w:sz w:val="20"/>
                <w:szCs w:val="20"/>
              </w:rPr>
              <w:t>Reliability of reports to end users.</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lastRenderedPageBreak/>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4D79FF" w:rsidP="00F9197F">
            <w:pPr>
              <w:pStyle w:val="NoSpacing"/>
              <w:rPr>
                <w:rFonts w:ascii="Arial" w:hAnsi="Arial" w:cs="Arial"/>
                <w:sz w:val="20"/>
                <w:szCs w:val="20"/>
              </w:rPr>
            </w:pPr>
            <w:r>
              <w:rPr>
                <w:rFonts w:ascii="Arial" w:hAnsi="Arial" w:cs="Arial"/>
                <w:sz w:val="20"/>
                <w:szCs w:val="20"/>
              </w:rPr>
              <w:t>Update/revise business procedures to incorporate changes to system due to Workday implementation.</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2F5450" w:rsidP="00F9197F">
            <w:pPr>
              <w:pStyle w:val="NoSpacing"/>
              <w:rPr>
                <w:rFonts w:ascii="Arial" w:hAnsi="Arial" w:cs="Arial"/>
                <w:sz w:val="20"/>
                <w:szCs w:val="20"/>
              </w:rPr>
            </w:pPr>
            <w:r>
              <w:rPr>
                <w:rFonts w:ascii="Arial" w:hAnsi="Arial" w:cs="Arial"/>
                <w:sz w:val="20"/>
                <w:szCs w:val="20"/>
              </w:rPr>
              <w:t>Improve processing time for payment to customers (employees, suppliers, students). Improve customer experience for end users as revealed from surveys.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F9197F" w:rsidRPr="00AB27F7" w:rsidRDefault="002F5450" w:rsidP="00F9197F">
            <w:pPr>
              <w:pStyle w:val="NoSpacing"/>
              <w:rPr>
                <w:rFonts w:ascii="Arial" w:hAnsi="Arial" w:cs="Arial"/>
                <w:sz w:val="20"/>
                <w:szCs w:val="20"/>
              </w:rPr>
            </w:pPr>
            <w:r w:rsidRPr="00AB27F7">
              <w:rPr>
                <w:rFonts w:ascii="Arial" w:hAnsi="Arial" w:cs="Arial"/>
                <w:sz w:val="20"/>
                <w:szCs w:val="20"/>
              </w:rPr>
              <w:t>Pay within 30 days or sooner for matched transactions. Reduce payment time by 10%</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AB27F7" w:rsidRDefault="002F5450" w:rsidP="00F9197F">
            <w:pPr>
              <w:pStyle w:val="NoSpacing"/>
              <w:rPr>
                <w:rFonts w:ascii="Arial" w:hAnsi="Arial" w:cs="Arial"/>
                <w:sz w:val="20"/>
                <w:szCs w:val="20"/>
              </w:rPr>
            </w:pPr>
            <w:r w:rsidRPr="00AB27F7">
              <w:rPr>
                <w:rFonts w:ascii="Arial" w:hAnsi="Arial" w:cs="Arial"/>
                <w:sz w:val="20"/>
                <w:szCs w:val="20"/>
              </w:rPr>
              <w:t xml:space="preserve">Review and update procedures as considered necessary to educate end users on capability of Workday and how best to achiever expected outcomes, i.e. get reimbursement, pay vendor, issue refund to students.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r w:rsidR="006172EA">
              <w:rPr>
                <w:rFonts w:ascii="Arial" w:hAnsi="Arial" w:cs="Arial"/>
                <w:b/>
                <w:sz w:val="20"/>
                <w:szCs w:val="20"/>
              </w:rPr>
              <w:t xml:space="preserve"> </w:t>
            </w:r>
          </w:p>
          <w:p w:rsidR="006172EA" w:rsidRPr="006172EA" w:rsidRDefault="006172EA" w:rsidP="006172EA">
            <w:pPr>
              <w:pStyle w:val="NoSpacing"/>
              <w:rPr>
                <w:rFonts w:ascii="Arial" w:hAnsi="Arial" w:cs="Arial"/>
                <w:sz w:val="20"/>
                <w:szCs w:val="20"/>
              </w:rPr>
            </w:pPr>
            <w:r>
              <w:rPr>
                <w:rFonts w:ascii="Arial" w:hAnsi="Arial" w:cs="Arial"/>
                <w:sz w:val="20"/>
                <w:szCs w:val="20"/>
              </w:rPr>
              <w:t>B</w:t>
            </w:r>
            <w:r w:rsidR="008C206C">
              <w:rPr>
                <w:rFonts w:ascii="Arial" w:hAnsi="Arial" w:cs="Arial"/>
                <w:sz w:val="20"/>
                <w:szCs w:val="20"/>
              </w:rPr>
              <w:t xml:space="preserve">usiness and </w:t>
            </w:r>
            <w:r>
              <w:rPr>
                <w:rFonts w:ascii="Arial" w:hAnsi="Arial" w:cs="Arial"/>
                <w:sz w:val="20"/>
                <w:szCs w:val="20"/>
              </w:rPr>
              <w:t>A</w:t>
            </w:r>
            <w:r w:rsidR="008C206C">
              <w:rPr>
                <w:rFonts w:ascii="Arial" w:hAnsi="Arial" w:cs="Arial"/>
                <w:sz w:val="20"/>
                <w:szCs w:val="20"/>
              </w:rPr>
              <w:t>dministrative Services(BAS)</w:t>
            </w:r>
            <w:bookmarkStart w:id="0" w:name="_GoBack"/>
            <w:bookmarkEnd w:id="0"/>
            <w:r>
              <w:rPr>
                <w:rFonts w:ascii="Arial" w:hAnsi="Arial" w:cs="Arial"/>
                <w:sz w:val="20"/>
                <w:szCs w:val="20"/>
              </w:rPr>
              <w:t xml:space="preserve"> has updated all written procedures to incorporate Workday processes.  Procedures can be found on the BAS CougarWeb page </w:t>
            </w:r>
            <w:hyperlink r:id="rId7" w:history="1">
              <w:r w:rsidRPr="006172EA">
                <w:rPr>
                  <w:rStyle w:val="Hyperlink"/>
                  <w:rFonts w:ascii="Arial" w:hAnsi="Arial" w:cs="Arial"/>
                  <w:sz w:val="20"/>
                  <w:szCs w:val="20"/>
                </w:rPr>
                <w:t>here</w:t>
              </w:r>
            </w:hyperlink>
            <w:r>
              <w:rPr>
                <w:rFonts w:ascii="Arial" w:hAnsi="Arial" w:cs="Arial"/>
                <w:sz w:val="20"/>
                <w:szCs w:val="20"/>
              </w:rPr>
              <w:t xml:space="preserve">. </w:t>
            </w:r>
          </w:p>
          <w:p w:rsidR="00F9197F" w:rsidRPr="00210107" w:rsidRDefault="00F9197F" w:rsidP="00F9197F">
            <w:pPr>
              <w:pStyle w:val="NoSpacing"/>
              <w:rPr>
                <w:rFonts w:ascii="Arial" w:hAnsi="Arial" w:cs="Arial"/>
                <w:sz w:val="20"/>
                <w:szCs w:val="20"/>
              </w:rPr>
            </w:pP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563518" w:rsidRDefault="00CE57CC" w:rsidP="003837E0">
            <w:pPr>
              <w:pStyle w:val="NoSpacing"/>
              <w:jc w:val="both"/>
              <w:rPr>
                <w:rFonts w:ascii="Arial" w:hAnsi="Arial" w:cs="Arial"/>
                <w:sz w:val="20"/>
                <w:szCs w:val="20"/>
              </w:rPr>
            </w:pPr>
            <w:r>
              <w:rPr>
                <w:rFonts w:ascii="Arial" w:hAnsi="Arial" w:cs="Arial"/>
                <w:sz w:val="20"/>
                <w:szCs w:val="20"/>
              </w:rPr>
              <w:t xml:space="preserve">In addition to updating the BAS procedures manual, </w:t>
            </w:r>
            <w:r w:rsidR="00920EBA">
              <w:rPr>
                <w:rFonts w:ascii="Arial" w:hAnsi="Arial" w:cs="Arial"/>
                <w:sz w:val="20"/>
                <w:szCs w:val="20"/>
              </w:rPr>
              <w:t>specific guidelines and procedures have been updated within Workday. Help guides are provided to assist end users in navigating the system, from submitting an expense report, to determining how to submit a reimbursement for tuition reimbursement. All information is published and updated when necessary.</w:t>
            </w:r>
          </w:p>
          <w:p w:rsidR="00563518" w:rsidRDefault="00563518" w:rsidP="003837E0">
            <w:pPr>
              <w:pStyle w:val="NoSpacing"/>
              <w:jc w:val="both"/>
              <w:rPr>
                <w:rFonts w:ascii="Arial" w:hAnsi="Arial" w:cs="Arial"/>
                <w:sz w:val="20"/>
                <w:szCs w:val="20"/>
              </w:rPr>
            </w:pPr>
          </w:p>
          <w:p w:rsidR="006E18BD" w:rsidRDefault="006E18BD" w:rsidP="006172EA">
            <w:pPr>
              <w:pStyle w:val="NoSpacing"/>
              <w:rPr>
                <w:rFonts w:ascii="Arial" w:hAnsi="Arial" w:cs="Arial"/>
                <w:sz w:val="20"/>
                <w:szCs w:val="20"/>
              </w:rPr>
            </w:pPr>
          </w:p>
          <w:p w:rsidR="006172EA" w:rsidRDefault="006172EA" w:rsidP="006172EA">
            <w:pPr>
              <w:pStyle w:val="NoSpacing"/>
              <w:rPr>
                <w:rFonts w:ascii="Arial" w:hAnsi="Arial" w:cs="Arial"/>
                <w:sz w:val="20"/>
                <w:szCs w:val="20"/>
              </w:rPr>
            </w:pPr>
          </w:p>
          <w:p w:rsidR="006172EA" w:rsidRDefault="006172EA" w:rsidP="006172EA">
            <w:pPr>
              <w:pStyle w:val="NoSpacing"/>
              <w:rPr>
                <w:rFonts w:ascii="Arial" w:hAnsi="Arial" w:cs="Arial"/>
                <w:sz w:val="20"/>
                <w:szCs w:val="20"/>
              </w:rPr>
            </w:pPr>
          </w:p>
          <w:p w:rsidR="006172EA" w:rsidRDefault="006172EA" w:rsidP="006172EA">
            <w:pPr>
              <w:pStyle w:val="NoSpacing"/>
              <w:rPr>
                <w:rFonts w:ascii="Arial" w:hAnsi="Arial" w:cs="Arial"/>
                <w:sz w:val="20"/>
                <w:szCs w:val="20"/>
              </w:rPr>
            </w:pPr>
          </w:p>
          <w:p w:rsidR="006172EA" w:rsidRDefault="006172EA" w:rsidP="006172EA">
            <w:pPr>
              <w:pStyle w:val="NoSpacing"/>
              <w:rPr>
                <w:rFonts w:ascii="Arial" w:hAnsi="Arial" w:cs="Arial"/>
                <w:sz w:val="20"/>
                <w:szCs w:val="20"/>
              </w:rPr>
            </w:pPr>
          </w:p>
          <w:p w:rsidR="006172EA" w:rsidRPr="006172EA" w:rsidRDefault="006172EA" w:rsidP="006172EA">
            <w:pPr>
              <w:pStyle w:val="NoSpacing"/>
              <w:rPr>
                <w:rFonts w:ascii="Arial" w:hAnsi="Arial" w:cs="Arial"/>
                <w:sz w:val="20"/>
                <w:szCs w:val="20"/>
              </w:rPr>
            </w:pPr>
          </w:p>
          <w:p w:rsidR="00F9197F" w:rsidRPr="00210107" w:rsidRDefault="00F9197F" w:rsidP="00F9197F">
            <w:pPr>
              <w:pStyle w:val="NoSpacing"/>
              <w:rPr>
                <w:rFonts w:ascii="Arial" w:hAnsi="Arial" w:cs="Arial"/>
                <w:sz w:val="20"/>
                <w:szCs w:val="20"/>
              </w:rPr>
            </w:pP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D97A5B" w:rsidRPr="00D97A5B" w:rsidRDefault="00D97A5B" w:rsidP="00D97A5B">
            <w:pPr>
              <w:pStyle w:val="NoSpacing"/>
              <w:rPr>
                <w:rFonts w:ascii="Arial" w:hAnsi="Arial" w:cs="Arial"/>
                <w:sz w:val="20"/>
                <w:szCs w:val="20"/>
              </w:rPr>
            </w:pPr>
            <w:r>
              <w:rPr>
                <w:rFonts w:ascii="Arial" w:hAnsi="Arial" w:cs="Arial"/>
                <w:sz w:val="20"/>
                <w:szCs w:val="20"/>
              </w:rPr>
              <w:t>Review and updates to procedures will be made each year to stay current with changes.</w:t>
            </w:r>
          </w:p>
          <w:p w:rsidR="003837E0" w:rsidRPr="003837E0" w:rsidRDefault="003837E0" w:rsidP="003837E0">
            <w:pPr>
              <w:pStyle w:val="NoSpacing"/>
              <w:rPr>
                <w:rFonts w:ascii="Arial" w:hAnsi="Arial" w:cs="Arial"/>
                <w:sz w:val="20"/>
                <w:szCs w:val="20"/>
              </w:rPr>
            </w:pP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216AB3" w:rsidP="00A22D6B">
            <w:pPr>
              <w:pStyle w:val="NoSpacing"/>
              <w:rPr>
                <w:rFonts w:ascii="Arial" w:hAnsi="Arial" w:cs="Arial"/>
                <w:sz w:val="20"/>
                <w:szCs w:val="20"/>
              </w:rPr>
            </w:pPr>
            <w:r>
              <w:rPr>
                <w:rFonts w:ascii="Arial" w:eastAsia="Franklin Gothic Book" w:hAnsi="Arial" w:cs="Arial"/>
                <w:sz w:val="20"/>
                <w:szCs w:val="20"/>
              </w:rPr>
              <w:t>Training to external users to assist with understanding Workday, particularly expense reports, and spend authorization, T-Card transactions, and Supplier Invoice Requests.</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216AB3" w:rsidP="00A22D6B">
            <w:pPr>
              <w:pStyle w:val="NoSpacing"/>
              <w:rPr>
                <w:rFonts w:ascii="Arial" w:hAnsi="Arial" w:cs="Arial"/>
                <w:sz w:val="20"/>
                <w:szCs w:val="20"/>
              </w:rPr>
            </w:pPr>
            <w:r>
              <w:rPr>
                <w:rFonts w:ascii="Arial" w:eastAsia="Franklin Gothic Book" w:hAnsi="Arial" w:cs="Arial"/>
                <w:sz w:val="20"/>
                <w:szCs w:val="20"/>
              </w:rPr>
              <w:t>Improved processing time for payment to end users, utilizing various aging reports, including Expense Report Lifecycle, AP aging reports.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216AB3" w:rsidP="00A22D6B">
            <w:pPr>
              <w:pStyle w:val="NoSpacing"/>
              <w:rPr>
                <w:rFonts w:ascii="Arial" w:hAnsi="Arial" w:cs="Arial"/>
                <w:sz w:val="20"/>
                <w:szCs w:val="20"/>
              </w:rPr>
            </w:pPr>
            <w:r w:rsidRPr="002F5450">
              <w:rPr>
                <w:rFonts w:ascii="Arial" w:hAnsi="Arial" w:cs="Arial"/>
                <w:sz w:val="20"/>
                <w:szCs w:val="20"/>
              </w:rPr>
              <w:t>Reduce payment time by 10%.</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F62579" w:rsidRDefault="00F62579" w:rsidP="00F62579">
            <w:pPr>
              <w:pStyle w:val="NoSpacing"/>
              <w:jc w:val="both"/>
              <w:rPr>
                <w:rFonts w:ascii="Arial" w:hAnsi="Arial" w:cs="Arial"/>
                <w:sz w:val="20"/>
                <w:szCs w:val="20"/>
              </w:rPr>
            </w:pPr>
            <w:r>
              <w:rPr>
                <w:rFonts w:ascii="Arial" w:hAnsi="Arial" w:cs="Arial"/>
                <w:sz w:val="20"/>
                <w:szCs w:val="20"/>
              </w:rPr>
              <w:t>Expense Report Process statistics broken down by business purpose may be found below.  From FY22 to FY23, total expense reports processed increased by 537. For FY24, AP is on track to process close to 5046 (an increase of 17% since 2022) expense reports based on prorating submissions from FY24 Sep-Jan.  After being in Workday for a year, AP staff determined it would be more efficient to separate local travel reports from reimbursement reports.  Due to the substantial increase in credit card transactions, and the significant time necessary to review reports for accuracy and appropriateness, the AP department was allowed to hire additional staff over the last two years.  Additional staff were trained to review and approve local travel.  Prior to FY23, local travel was included in Employee Reimbursement category.  Travel and non-travel procedures stipulate expense reports should be submitted within 10 business days following travel, or month end, respectively.  However, in any case, credit card transactions must be received before submitting an expense report. From FY22 to FY23, some categories of expense reports increased in processing time.  An analysis of the increase shows that reports had to be sent back for additional information.  Usually, the delay in the final payment is due to the report being sent back due to incomplete information or documentation.  As a result of this, AP started sending out a Monday Memos with reminders of frequent problems being addressed during the review process.</w:t>
            </w:r>
            <w:r w:rsidR="0048183F">
              <w:rPr>
                <w:rFonts w:ascii="Arial" w:hAnsi="Arial" w:cs="Arial"/>
                <w:sz w:val="20"/>
                <w:szCs w:val="20"/>
              </w:rPr>
              <w:t xml:space="preserve">  A Workday feature being tested for implementation that should help expedite expense report processing is Expense Protect, Workday audit functionality.</w:t>
            </w:r>
          </w:p>
          <w:p w:rsidR="000D36B7" w:rsidRDefault="000D36B7" w:rsidP="00F62579">
            <w:pPr>
              <w:pStyle w:val="NoSpacing"/>
              <w:jc w:val="both"/>
              <w:rPr>
                <w:rFonts w:ascii="Arial" w:hAnsi="Arial" w:cs="Arial"/>
                <w:sz w:val="20"/>
                <w:szCs w:val="20"/>
              </w:rPr>
            </w:pPr>
          </w:p>
          <w:p w:rsidR="000D36B7" w:rsidRDefault="000D36B7" w:rsidP="00F62579">
            <w:pPr>
              <w:pStyle w:val="NoSpacing"/>
              <w:jc w:val="both"/>
              <w:rPr>
                <w:rFonts w:ascii="Arial" w:hAnsi="Arial" w:cs="Arial"/>
                <w:sz w:val="20"/>
                <w:szCs w:val="20"/>
              </w:rPr>
            </w:pPr>
            <w:r>
              <w:rPr>
                <w:rFonts w:ascii="Arial" w:hAnsi="Arial" w:cs="Arial"/>
                <w:sz w:val="20"/>
                <w:szCs w:val="20"/>
              </w:rPr>
              <w:t xml:space="preserve">With the implementation of Workday, AP Staff have held weekly training sessions for various types of expense reports, and for submitting Supplier Invoice requests.  </w:t>
            </w:r>
            <w:r w:rsidR="00CE57CC">
              <w:rPr>
                <w:rFonts w:ascii="Arial" w:hAnsi="Arial" w:cs="Arial"/>
                <w:sz w:val="20"/>
                <w:szCs w:val="20"/>
              </w:rPr>
              <w:t xml:space="preserve">In addition, AP staff are available to meet one on one with employee either through virtual or face to face meeting.  </w:t>
            </w:r>
            <w:r>
              <w:rPr>
                <w:rFonts w:ascii="Arial" w:hAnsi="Arial" w:cs="Arial"/>
                <w:sz w:val="20"/>
                <w:szCs w:val="20"/>
              </w:rPr>
              <w:t xml:space="preserve">Beginning in FY2024, mandatory attendance to training for T-Card is required before receiving a card.  </w:t>
            </w:r>
            <w:r w:rsidR="00A425A8">
              <w:rPr>
                <w:rFonts w:ascii="Arial" w:hAnsi="Arial" w:cs="Arial"/>
                <w:sz w:val="20"/>
                <w:szCs w:val="20"/>
              </w:rPr>
              <w:t xml:space="preserve">In addition, </w:t>
            </w:r>
            <w:r w:rsidR="0048183F">
              <w:rPr>
                <w:rFonts w:ascii="Arial" w:hAnsi="Arial" w:cs="Arial"/>
                <w:sz w:val="20"/>
                <w:szCs w:val="20"/>
              </w:rPr>
              <w:t xml:space="preserve">travel and non-travel expense training is required before receiving a card.  AP staff monitor timeliness of expense reports and reach out to employees not submitting in a timely manner.  Habitual offenders may have credit card privileges suspended.  </w:t>
            </w:r>
            <w:r w:rsidR="00CE57CC">
              <w:rPr>
                <w:rFonts w:ascii="Arial" w:hAnsi="Arial" w:cs="Arial"/>
                <w:sz w:val="20"/>
                <w:szCs w:val="20"/>
              </w:rPr>
              <w:t>During the fiscal year 2024, the AP staff have been doing outreach at the various campuses to provide training.</w:t>
            </w:r>
          </w:p>
          <w:p w:rsidR="00F62579" w:rsidRPr="00F62579" w:rsidRDefault="00F62579" w:rsidP="00F62579">
            <w:pPr>
              <w:pStyle w:val="NoSpacing"/>
              <w:jc w:val="both"/>
              <w:rPr>
                <w:rFonts w:ascii="Arial" w:hAnsi="Arial" w:cs="Arial"/>
                <w:sz w:val="20"/>
                <w:szCs w:val="20"/>
              </w:rPr>
            </w:pP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0D36B7" w:rsidRDefault="00F62579" w:rsidP="000D36B7">
            <w:pPr>
              <w:pStyle w:val="NoSpacing"/>
              <w:numPr>
                <w:ilvl w:val="0"/>
                <w:numId w:val="4"/>
              </w:numPr>
              <w:jc w:val="both"/>
              <w:rPr>
                <w:rFonts w:ascii="Arial" w:hAnsi="Arial" w:cs="Arial"/>
                <w:sz w:val="20"/>
                <w:szCs w:val="20"/>
              </w:rPr>
            </w:pPr>
            <w:r>
              <w:rPr>
                <w:rFonts w:ascii="Arial" w:hAnsi="Arial" w:cs="Arial"/>
                <w:sz w:val="20"/>
                <w:szCs w:val="20"/>
              </w:rPr>
              <w:t>See statistics below for expense report processing categorized by business process</w:t>
            </w:r>
            <w:r w:rsidR="000D36B7">
              <w:rPr>
                <w:rFonts w:ascii="Arial" w:hAnsi="Arial" w:cs="Arial"/>
                <w:sz w:val="20"/>
                <w:szCs w:val="20"/>
              </w:rPr>
              <w:t xml:space="preserve">. </w:t>
            </w:r>
          </w:p>
          <w:p w:rsidR="00F62579" w:rsidRDefault="000D36B7" w:rsidP="000D36B7">
            <w:pPr>
              <w:pStyle w:val="NoSpacing"/>
              <w:numPr>
                <w:ilvl w:val="0"/>
                <w:numId w:val="4"/>
              </w:numPr>
              <w:jc w:val="both"/>
              <w:rPr>
                <w:rFonts w:ascii="Arial" w:hAnsi="Arial" w:cs="Arial"/>
                <w:sz w:val="20"/>
                <w:szCs w:val="20"/>
              </w:rPr>
            </w:pPr>
            <w:r>
              <w:rPr>
                <w:rFonts w:ascii="Arial" w:hAnsi="Arial" w:cs="Arial"/>
                <w:sz w:val="20"/>
                <w:szCs w:val="20"/>
              </w:rPr>
              <w:t>This is followed by AP Vendor Invoice Aging statistics.</w:t>
            </w:r>
          </w:p>
          <w:p w:rsidR="000D36B7" w:rsidRDefault="000D36B7" w:rsidP="000D36B7">
            <w:pPr>
              <w:pStyle w:val="NoSpacing"/>
              <w:jc w:val="both"/>
              <w:rPr>
                <w:rFonts w:ascii="Arial" w:hAnsi="Arial" w:cs="Arial"/>
                <w:sz w:val="20"/>
                <w:szCs w:val="20"/>
              </w:rPr>
            </w:pPr>
          </w:p>
          <w:p w:rsidR="000D36B7" w:rsidRPr="000D36B7" w:rsidRDefault="000D36B7" w:rsidP="000D36B7">
            <w:pPr>
              <w:pStyle w:val="NoSpacing"/>
              <w:numPr>
                <w:ilvl w:val="0"/>
                <w:numId w:val="5"/>
              </w:numPr>
              <w:jc w:val="both"/>
              <w:rPr>
                <w:rFonts w:ascii="Arial" w:hAnsi="Arial" w:cs="Arial"/>
                <w:b/>
                <w:sz w:val="20"/>
                <w:szCs w:val="20"/>
              </w:rPr>
            </w:pPr>
            <w:r>
              <w:rPr>
                <w:rFonts w:ascii="Arial" w:hAnsi="Arial" w:cs="Arial"/>
                <w:sz w:val="20"/>
                <w:szCs w:val="20"/>
              </w:rPr>
              <w:t xml:space="preserve"> </w:t>
            </w:r>
            <w:r w:rsidRPr="000D36B7">
              <w:rPr>
                <w:rFonts w:ascii="Arial" w:hAnsi="Arial" w:cs="Arial"/>
                <w:b/>
                <w:sz w:val="20"/>
                <w:szCs w:val="20"/>
                <w:highlight w:val="yellow"/>
              </w:rPr>
              <w:t>Expense Report Processing</w:t>
            </w:r>
          </w:p>
          <w:tbl>
            <w:tblPr>
              <w:tblW w:w="5760" w:type="dxa"/>
              <w:tblLayout w:type="fixed"/>
              <w:tblLook w:val="04A0" w:firstRow="1" w:lastRow="0" w:firstColumn="1" w:lastColumn="0" w:noHBand="0" w:noVBand="1"/>
            </w:tblPr>
            <w:tblGrid>
              <w:gridCol w:w="2420"/>
              <w:gridCol w:w="1000"/>
              <w:gridCol w:w="1000"/>
              <w:gridCol w:w="1340"/>
            </w:tblGrid>
            <w:tr w:rsidR="000D36B7" w:rsidRPr="00E62489" w:rsidTr="00DF60CD">
              <w:trPr>
                <w:trHeight w:val="528"/>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Athletic Recruiting Expenses</w:t>
                  </w:r>
                </w:p>
              </w:tc>
              <w:tc>
                <w:tcPr>
                  <w:tcW w:w="100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FY22</w:t>
                  </w:r>
                </w:p>
              </w:tc>
              <w:tc>
                <w:tcPr>
                  <w:tcW w:w="100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FY23</w:t>
                  </w:r>
                </w:p>
              </w:tc>
              <w:tc>
                <w:tcPr>
                  <w:tcW w:w="134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FY24        Sep-Jan</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57.1%</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42.9%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25.0%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8</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lastRenderedPageBreak/>
                    <w:t>Athletic Travel</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22.2%</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33.3%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66.7%</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55.6%</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11.1%</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11.1%</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528"/>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Business/Professional Development</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39.2%</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41.9%</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74.9%</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35.8%</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29.7%</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15.3%</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5.5%</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5.4%</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5.4%</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5.7%</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9.2%</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316</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501</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183</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528"/>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Council on Excellence (COE)</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39.3%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28.8%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71.1%</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36.4%</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40.8%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12.1%</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17.4%</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4.6%</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5.4%</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7.5%</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7.6%</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173</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184</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528"/>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Employee Reimbursement*</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75.5%</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69.6%</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79.1%</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17.6%</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21.2%</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11.6%</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7.1%</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1.4%</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0.9%</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lastRenderedPageBreak/>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1.5%</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1804</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1213</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43</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Local Travel</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67.8%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76.9%</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18.3%</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3.5%</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0.3%</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2.1%</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sz w:val="20"/>
                      <w:szCs w:val="20"/>
                    </w:rPr>
                  </w:pPr>
                  <w:r w:rsidRPr="00E62489">
                    <w:rPr>
                      <w:rFonts w:ascii="Arial" w:eastAsia="Times New Roman" w:hAnsi="Arial" w:cs="Arial"/>
                      <w:sz w:val="20"/>
                      <w:szCs w:val="20"/>
                    </w:rPr>
                    <w:t>#DIV/0!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838</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679</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single" w:sz="4" w:space="0" w:color="8EA9DB"/>
                    <w:right w:val="nil"/>
                  </w:tcBorders>
                  <w:shd w:val="clear" w:color="D9E1F2" w:fill="D9E1F2"/>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Non-Travel/T-Card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80.9%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72.4%</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79.8%</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14.0%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21.5%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14.6%</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3.4%</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1.1%</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0.9%</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1868</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1944</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652</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single" w:sz="4" w:space="0" w:color="8EA9DB"/>
                    <w:right w:val="nil"/>
                  </w:tcBorders>
                  <w:shd w:val="clear" w:color="D9E1F2" w:fill="D9E1F2"/>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Recruiting Expenses</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72.4%</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53.2%</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22.2%</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21.1%</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35.5%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77.8%</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4.8%</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76</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62</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Staff Meeting Expense</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73.5%</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45.5%</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55.6%</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27.3%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33.3%</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27.3%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11.1%</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lastRenderedPageBreak/>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5.9%</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8.8%</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0.0%</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34</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33</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9</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528"/>
              </w:trPr>
              <w:tc>
                <w:tcPr>
                  <w:tcW w:w="2420" w:type="dxa"/>
                  <w:tcBorders>
                    <w:top w:val="nil"/>
                    <w:left w:val="nil"/>
                    <w:bottom w:val="single" w:sz="4" w:space="0" w:color="8EA9DB"/>
                    <w:right w:val="nil"/>
                  </w:tcBorders>
                  <w:shd w:val="clear" w:color="D9E1F2" w:fill="D9E1F2"/>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r w:rsidRPr="00E62489">
                    <w:rPr>
                      <w:rFonts w:ascii="Arial" w:eastAsia="Times New Roman" w:hAnsi="Arial" w:cs="Arial"/>
                      <w:b/>
                      <w:bCs/>
                      <w:color w:val="000000"/>
                      <w:sz w:val="20"/>
                      <w:szCs w:val="20"/>
                    </w:rPr>
                    <w:t>Student Field Trip Travel</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center"/>
                    <w:rPr>
                      <w:rFonts w:ascii="Arial" w:eastAsia="Times New Roman" w:hAnsi="Arial" w:cs="Arial"/>
                      <w:b/>
                      <w:bCs/>
                      <w:color w:val="000000"/>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0-10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20.8%</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17.9%</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26.7%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11-20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33.3%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32.1%</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26.7%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21-30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16.7%</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25.0%</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26.7%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31-40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8.3%</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10.7%</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13.3%</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&gt;40 Days Processed</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20.8%</w:t>
                  </w: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14.3%</w:t>
                  </w: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6.7%</w:t>
                  </w:r>
                </w:p>
              </w:tc>
            </w:tr>
            <w:tr w:rsidR="000D36B7" w:rsidRPr="00E62489" w:rsidTr="00DF60CD">
              <w:trPr>
                <w:trHeight w:val="264"/>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00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c>
                <w:tcPr>
                  <w:tcW w:w="1340" w:type="dxa"/>
                  <w:tcBorders>
                    <w:top w:val="single" w:sz="4" w:space="0" w:color="auto"/>
                    <w:left w:val="nil"/>
                    <w:bottom w:val="single" w:sz="4"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100.0%</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Total Count</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24</w:t>
                  </w:r>
                </w:p>
              </w:tc>
              <w:tc>
                <w:tcPr>
                  <w:tcW w:w="100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56</w:t>
                  </w:r>
                </w:p>
              </w:tc>
              <w:tc>
                <w:tcPr>
                  <w:tcW w:w="1340" w:type="dxa"/>
                  <w:tcBorders>
                    <w:top w:val="nil"/>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15</w:t>
                  </w: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r w:rsidR="000D36B7" w:rsidRPr="00E62489" w:rsidTr="00DF60CD">
              <w:trPr>
                <w:trHeight w:val="276"/>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Arial" w:eastAsia="Times New Roman" w:hAnsi="Arial" w:cs="Arial"/>
                      <w:sz w:val="20"/>
                      <w:szCs w:val="20"/>
                    </w:rPr>
                  </w:pPr>
                  <w:r w:rsidRPr="00E62489">
                    <w:rPr>
                      <w:rFonts w:ascii="Arial" w:eastAsia="Times New Roman" w:hAnsi="Arial" w:cs="Arial"/>
                      <w:sz w:val="20"/>
                      <w:szCs w:val="20"/>
                    </w:rPr>
                    <w:t>Grand Total</w:t>
                  </w:r>
                </w:p>
              </w:tc>
              <w:tc>
                <w:tcPr>
                  <w:tcW w:w="1000" w:type="dxa"/>
                  <w:tcBorders>
                    <w:top w:val="single" w:sz="4" w:space="0" w:color="auto"/>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4311</w:t>
                  </w:r>
                </w:p>
              </w:tc>
              <w:tc>
                <w:tcPr>
                  <w:tcW w:w="1000" w:type="dxa"/>
                  <w:tcBorders>
                    <w:top w:val="single" w:sz="4" w:space="0" w:color="auto"/>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4848</w:t>
                  </w:r>
                </w:p>
              </w:tc>
              <w:tc>
                <w:tcPr>
                  <w:tcW w:w="1340" w:type="dxa"/>
                  <w:tcBorders>
                    <w:top w:val="single" w:sz="4" w:space="0" w:color="auto"/>
                    <w:left w:val="nil"/>
                    <w:bottom w:val="double" w:sz="6" w:space="0" w:color="auto"/>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r w:rsidRPr="00E62489">
                    <w:rPr>
                      <w:rFonts w:ascii="Arial" w:eastAsia="Times New Roman" w:hAnsi="Arial" w:cs="Arial"/>
                      <w:sz w:val="20"/>
                      <w:szCs w:val="20"/>
                    </w:rPr>
                    <w:t>1682</w:t>
                  </w:r>
                </w:p>
              </w:tc>
            </w:tr>
            <w:tr w:rsidR="000D36B7" w:rsidRPr="00E62489" w:rsidTr="00DF60CD">
              <w:trPr>
                <w:trHeight w:val="108"/>
              </w:trPr>
              <w:tc>
                <w:tcPr>
                  <w:tcW w:w="242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jc w:val="right"/>
                    <w:rPr>
                      <w:rFonts w:ascii="Arial" w:eastAsia="Times New Roman" w:hAnsi="Arial" w:cs="Arial"/>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0D36B7" w:rsidRPr="00E62489" w:rsidRDefault="000D36B7" w:rsidP="000D36B7">
                  <w:pPr>
                    <w:spacing w:after="0" w:line="240" w:lineRule="auto"/>
                    <w:rPr>
                      <w:rFonts w:ascii="Times New Roman" w:eastAsia="Times New Roman" w:hAnsi="Times New Roman" w:cs="Times New Roman"/>
                      <w:sz w:val="20"/>
                      <w:szCs w:val="20"/>
                    </w:rPr>
                  </w:pPr>
                </w:p>
              </w:tc>
            </w:tr>
          </w:tbl>
          <w:p w:rsidR="000D36B7" w:rsidRDefault="000D36B7" w:rsidP="000D36B7">
            <w:pPr>
              <w:pStyle w:val="NoSpacing"/>
              <w:jc w:val="both"/>
              <w:rPr>
                <w:rFonts w:ascii="Arial" w:hAnsi="Arial" w:cs="Arial"/>
                <w:sz w:val="20"/>
                <w:szCs w:val="20"/>
              </w:rPr>
            </w:pPr>
          </w:p>
          <w:p w:rsidR="000D36B7" w:rsidRPr="000D36B7" w:rsidRDefault="000D36B7" w:rsidP="000D36B7">
            <w:pPr>
              <w:pStyle w:val="NoSpacing"/>
              <w:numPr>
                <w:ilvl w:val="0"/>
                <w:numId w:val="5"/>
              </w:numPr>
              <w:jc w:val="both"/>
              <w:rPr>
                <w:rFonts w:ascii="Arial" w:hAnsi="Arial" w:cs="Arial"/>
                <w:b/>
                <w:sz w:val="20"/>
                <w:szCs w:val="20"/>
              </w:rPr>
            </w:pPr>
            <w:r w:rsidRPr="000D36B7">
              <w:rPr>
                <w:rFonts w:ascii="Arial" w:hAnsi="Arial" w:cs="Arial"/>
                <w:b/>
                <w:sz w:val="20"/>
                <w:szCs w:val="20"/>
                <w:highlight w:val="yellow"/>
              </w:rPr>
              <w:t>AP Vendor Invoice Aging</w:t>
            </w:r>
          </w:p>
          <w:tbl>
            <w:tblPr>
              <w:tblW w:w="13228" w:type="dxa"/>
              <w:tblLayout w:type="fixed"/>
              <w:tblLook w:val="04A0" w:firstRow="1" w:lastRow="0" w:firstColumn="1" w:lastColumn="0" w:noHBand="0" w:noVBand="1"/>
            </w:tblPr>
            <w:tblGrid>
              <w:gridCol w:w="1236"/>
              <w:gridCol w:w="1436"/>
              <w:gridCol w:w="1836"/>
              <w:gridCol w:w="1896"/>
              <w:gridCol w:w="1676"/>
              <w:gridCol w:w="1736"/>
              <w:gridCol w:w="1596"/>
              <w:gridCol w:w="1816"/>
            </w:tblGrid>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noProof/>
                      <w:color w:val="000000"/>
                    </w:rPr>
                    <w:drawing>
                      <wp:anchor distT="0" distB="0" distL="114300" distR="114300" simplePos="0" relativeHeight="251659264" behindDoc="0" locked="0" layoutInCell="1" allowOverlap="1" wp14:anchorId="668CA428" wp14:editId="3C8290B6">
                        <wp:simplePos x="0" y="0"/>
                        <wp:positionH relativeFrom="column">
                          <wp:posOffset>678180</wp:posOffset>
                        </wp:positionH>
                        <wp:positionV relativeFrom="paragraph">
                          <wp:posOffset>68580</wp:posOffset>
                        </wp:positionV>
                        <wp:extent cx="6583680" cy="487680"/>
                        <wp:effectExtent l="0" t="0" r="7620" b="7620"/>
                        <wp:wrapNone/>
                        <wp:docPr id="4" name="Picture 4">
                          <a:extLst xmlns:a="http://schemas.openxmlformats.org/drawingml/2006/main">
                            <a:ext uri="{FF2B5EF4-FFF2-40B4-BE49-F238E27FC236}">
                              <a16:creationId xmlns:a16="http://schemas.microsoft.com/office/drawing/2014/main" id="{2AAF168F-D80C-4332-9A44-BED06709BB1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AAF168F-D80C-4332-9A44-BED06709BB1C}"/>
                                    </a:ext>
                                  </a:extLst>
                                </pic:cNvPr>
                                <pic:cNvPicPr>
                                  <a:picLocks noChangeAspect="1"/>
                                </pic:cNvPicPr>
                              </pic:nvPicPr>
                              <pic:blipFill>
                                <a:blip r:embed="rId8"/>
                                <a:stretch>
                                  <a:fillRect/>
                                </a:stretch>
                              </pic:blipFill>
                              <pic:spPr>
                                <a:xfrm>
                                  <a:off x="0" y="0"/>
                                  <a:ext cx="6580952" cy="48571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20"/>
                  </w:tblGrid>
                  <w:tr w:rsidR="000D36B7" w:rsidRPr="00563518" w:rsidTr="00DF60CD">
                    <w:trPr>
                      <w:trHeight w:val="288"/>
                      <w:tblCellSpacing w:w="0" w:type="dxa"/>
                    </w:trPr>
                    <w:tc>
                      <w:tcPr>
                        <w:tcW w:w="1220"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r>
                </w:tbl>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Fiscal Year</w:t>
                  </w:r>
                </w:p>
              </w:tc>
              <w:tc>
                <w:tcPr>
                  <w:tcW w:w="14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Month</w:t>
                  </w:r>
                </w:p>
              </w:tc>
              <w:tc>
                <w:tcPr>
                  <w:tcW w:w="18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Current</w:t>
                  </w:r>
                </w:p>
              </w:tc>
              <w:tc>
                <w:tcPr>
                  <w:tcW w:w="18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1-30 Days</w:t>
                  </w:r>
                </w:p>
              </w:tc>
              <w:tc>
                <w:tcPr>
                  <w:tcW w:w="167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31-60 Days</w:t>
                  </w:r>
                </w:p>
              </w:tc>
              <w:tc>
                <w:tcPr>
                  <w:tcW w:w="17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61-90 Days</w:t>
                  </w:r>
                </w:p>
              </w:tc>
              <w:tc>
                <w:tcPr>
                  <w:tcW w:w="15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91+ Days</w:t>
                  </w:r>
                </w:p>
              </w:tc>
              <w:tc>
                <w:tcPr>
                  <w:tcW w:w="181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Total</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2021</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Sep</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593,156.25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4,201,698.81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7,840.00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4,802,695.06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2021</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Oct</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892,563.27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5,120,275.70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1,240,758.16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59,865.99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70,004.76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7,383,467.88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2021</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Nov</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3,206,296.96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1,855,310.01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1,905,396.76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4,003.81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62,759.65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7,033,767.19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2021</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Dec</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441,824.26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3,285,854.19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109,117.05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21,327.33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7,579.11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3,865,701.94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Jan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230,876.74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1,222,048.53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357,303.68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119,204.90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1,051.33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1,930,485.18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lastRenderedPageBreak/>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Feb</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125,343.42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2,405,623.13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6,907.33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222,395.13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(239.76)</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2,760,029.25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174,189.18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231,682.85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3,439.91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(4.46)</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(565.47)</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408,742.01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Apr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15,055.90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1,752,362.99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5,230.42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583,875.31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8,419.46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2,364,944.08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May</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321,060.16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334,940.27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136,039.21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(95.96)</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(30.70)</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791,912.98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113,044.16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392,719.75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962.13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(256.09)</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1,982.50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508,452.45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Jul</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26,142.08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955,511.88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380,617.75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29,556.59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11,310.64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1,403,138.94 </w:t>
                  </w:r>
                </w:p>
              </w:tc>
            </w:tr>
            <w:tr w:rsidR="000D36B7" w:rsidRPr="00563518" w:rsidTr="00DF60CD">
              <w:trPr>
                <w:trHeight w:val="300"/>
              </w:trPr>
              <w:tc>
                <w:tcPr>
                  <w:tcW w:w="12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Aug</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3,878,107.09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748,851.46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39,574.84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4,679.27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95,313.97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4,766,526.63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10,017,659.47 </w:t>
                  </w:r>
                </w:p>
              </w:tc>
              <w:tc>
                <w:tcPr>
                  <w:tcW w:w="18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22,506,879.57 </w:t>
                  </w:r>
                </w:p>
              </w:tc>
              <w:tc>
                <w:tcPr>
                  <w:tcW w:w="167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4,185,347.24 </w:t>
                  </w:r>
                </w:p>
              </w:tc>
              <w:tc>
                <w:tcPr>
                  <w:tcW w:w="17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1,044,551.82 </w:t>
                  </w:r>
                </w:p>
              </w:tc>
              <w:tc>
                <w:tcPr>
                  <w:tcW w:w="15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265,425.49 </w:t>
                  </w:r>
                </w:p>
              </w:tc>
              <w:tc>
                <w:tcPr>
                  <w:tcW w:w="181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38,019,863.59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26.3%</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59.2%</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11.0%</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2.7%</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0.7%</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100.0%</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p>
              </w:tc>
              <w:tc>
                <w:tcPr>
                  <w:tcW w:w="14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center"/>
                    <w:rPr>
                      <w:rFonts w:ascii="Calibri" w:eastAsia="Times New Roman" w:hAnsi="Calibri" w:cs="Calibri"/>
                      <w:b/>
                      <w:bCs/>
                      <w:color w:val="FF0000"/>
                    </w:rPr>
                  </w:pPr>
                  <w:r w:rsidRPr="00563518">
                    <w:rPr>
                      <w:rFonts w:ascii="Calibri" w:eastAsia="Times New Roman" w:hAnsi="Calibri" w:cs="Calibri"/>
                      <w:b/>
                      <w:bCs/>
                      <w:color w:val="FF0000"/>
                    </w:rPr>
                    <w:t>Current</w:t>
                  </w:r>
                </w:p>
              </w:tc>
              <w:tc>
                <w:tcPr>
                  <w:tcW w:w="18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rPr>
                      <w:rFonts w:ascii="Calibri" w:eastAsia="Times New Roman" w:hAnsi="Calibri" w:cs="Calibri"/>
                      <w:b/>
                      <w:bCs/>
                      <w:color w:val="FF0000"/>
                    </w:rPr>
                  </w:pPr>
                  <w:r w:rsidRPr="00563518">
                    <w:rPr>
                      <w:rFonts w:ascii="Calibri" w:eastAsia="Times New Roman" w:hAnsi="Calibri" w:cs="Calibri"/>
                      <w:b/>
                      <w:bCs/>
                      <w:color w:val="FF0000"/>
                    </w:rPr>
                    <w:t> </w:t>
                  </w:r>
                </w:p>
              </w:tc>
              <w:tc>
                <w:tcPr>
                  <w:tcW w:w="189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r w:rsidRPr="00563518">
                    <w:rPr>
                      <w:rFonts w:ascii="Calibri" w:eastAsia="Times New Roman" w:hAnsi="Calibri" w:cs="Calibri"/>
                      <w:b/>
                      <w:bCs/>
                      <w:color w:val="FF0000"/>
                    </w:rPr>
                    <w:t>85.5%</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Fiscal Year</w:t>
                  </w:r>
                </w:p>
              </w:tc>
              <w:tc>
                <w:tcPr>
                  <w:tcW w:w="14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Month</w:t>
                  </w:r>
                </w:p>
              </w:tc>
              <w:tc>
                <w:tcPr>
                  <w:tcW w:w="18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Current</w:t>
                  </w:r>
                </w:p>
              </w:tc>
              <w:tc>
                <w:tcPr>
                  <w:tcW w:w="18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1-30 Days</w:t>
                  </w:r>
                </w:p>
              </w:tc>
              <w:tc>
                <w:tcPr>
                  <w:tcW w:w="167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31-60 Days</w:t>
                  </w:r>
                </w:p>
              </w:tc>
              <w:tc>
                <w:tcPr>
                  <w:tcW w:w="17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61-90 Days</w:t>
                  </w:r>
                </w:p>
              </w:tc>
              <w:tc>
                <w:tcPr>
                  <w:tcW w:w="15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91+ Days</w:t>
                  </w:r>
                </w:p>
              </w:tc>
              <w:tc>
                <w:tcPr>
                  <w:tcW w:w="181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Total</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Sep</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617,005.61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227,094.22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844,099.83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Oct</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165,962.24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955,770.22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1,914.04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1,123,646.50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Nov</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150,220.24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408,148.39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6,032.98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3,022.73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567,424.34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2022</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Dec</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39,250.31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86,910.75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6,401.73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(103.27)</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132,459.52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Jan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50,987.42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229,217.68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30,679.57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27,400.00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(103.27)</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338,181.40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Feb</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91,572.50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268,962.95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9,375.00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34,150.00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952.39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405,012.84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110,785.76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1,983,421.55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4,192.35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598.58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2,650.00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2,101,648.24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Apr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32,142.57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2,802,363.74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662.41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2,731.02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2,837,899.74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lastRenderedPageBreak/>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May</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349,122.14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682,864.66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11,019.49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524.76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1,043,531.05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110,411.53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809,703.62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41,319.64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6,643.40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968,078.19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Jul</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901,930.38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404,124.65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28,028.87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1,334,083.90 </w:t>
                  </w:r>
                </w:p>
              </w:tc>
            </w:tr>
            <w:tr w:rsidR="000D36B7" w:rsidRPr="00563518" w:rsidTr="00DF60CD">
              <w:trPr>
                <w:trHeight w:val="300"/>
              </w:trPr>
              <w:tc>
                <w:tcPr>
                  <w:tcW w:w="12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Aug</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2,940,344.40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409,823.10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2,665.59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44,611.17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3,397,444.26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Total</w:t>
                  </w:r>
                </w:p>
              </w:tc>
              <w:tc>
                <w:tcPr>
                  <w:tcW w:w="18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5,559,735.10 </w:t>
                  </w:r>
                </w:p>
              </w:tc>
              <w:tc>
                <w:tcPr>
                  <w:tcW w:w="18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9,268,405.53 </w:t>
                  </w:r>
                </w:p>
              </w:tc>
              <w:tc>
                <w:tcPr>
                  <w:tcW w:w="167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142,291.67 </w:t>
                  </w:r>
                </w:p>
              </w:tc>
              <w:tc>
                <w:tcPr>
                  <w:tcW w:w="17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119,156.90 </w:t>
                  </w:r>
                </w:p>
              </w:tc>
              <w:tc>
                <w:tcPr>
                  <w:tcW w:w="15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3,920.61 </w:t>
                  </w:r>
                </w:p>
              </w:tc>
              <w:tc>
                <w:tcPr>
                  <w:tcW w:w="181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15,093,509.81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36.8%</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61.4%</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0.9%</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0.8%</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0.0%</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100.0%</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p>
              </w:tc>
              <w:tc>
                <w:tcPr>
                  <w:tcW w:w="14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center"/>
                    <w:rPr>
                      <w:rFonts w:ascii="Calibri" w:eastAsia="Times New Roman" w:hAnsi="Calibri" w:cs="Calibri"/>
                      <w:b/>
                      <w:bCs/>
                      <w:color w:val="FF0000"/>
                    </w:rPr>
                  </w:pPr>
                  <w:r w:rsidRPr="00563518">
                    <w:rPr>
                      <w:rFonts w:ascii="Calibri" w:eastAsia="Times New Roman" w:hAnsi="Calibri" w:cs="Calibri"/>
                      <w:b/>
                      <w:bCs/>
                      <w:color w:val="FF0000"/>
                    </w:rPr>
                    <w:t>Current</w:t>
                  </w:r>
                </w:p>
              </w:tc>
              <w:tc>
                <w:tcPr>
                  <w:tcW w:w="18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rPr>
                      <w:rFonts w:ascii="Calibri" w:eastAsia="Times New Roman" w:hAnsi="Calibri" w:cs="Calibri"/>
                      <w:b/>
                      <w:bCs/>
                      <w:color w:val="FF0000"/>
                    </w:rPr>
                  </w:pPr>
                  <w:r w:rsidRPr="00563518">
                    <w:rPr>
                      <w:rFonts w:ascii="Calibri" w:eastAsia="Times New Roman" w:hAnsi="Calibri" w:cs="Calibri"/>
                      <w:b/>
                      <w:bCs/>
                      <w:color w:val="FF0000"/>
                    </w:rPr>
                    <w:t> </w:t>
                  </w:r>
                </w:p>
              </w:tc>
              <w:tc>
                <w:tcPr>
                  <w:tcW w:w="189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r w:rsidRPr="00563518">
                    <w:rPr>
                      <w:rFonts w:ascii="Calibri" w:eastAsia="Times New Roman" w:hAnsi="Calibri" w:cs="Calibri"/>
                      <w:b/>
                      <w:bCs/>
                      <w:color w:val="FF0000"/>
                    </w:rPr>
                    <w:t>98.2%</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Fiscal Year</w:t>
                  </w:r>
                </w:p>
              </w:tc>
              <w:tc>
                <w:tcPr>
                  <w:tcW w:w="14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Month</w:t>
                  </w:r>
                </w:p>
              </w:tc>
              <w:tc>
                <w:tcPr>
                  <w:tcW w:w="18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Current</w:t>
                  </w:r>
                </w:p>
              </w:tc>
              <w:tc>
                <w:tcPr>
                  <w:tcW w:w="18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1-30 Days</w:t>
                  </w:r>
                </w:p>
              </w:tc>
              <w:tc>
                <w:tcPr>
                  <w:tcW w:w="167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31-60 Days</w:t>
                  </w:r>
                </w:p>
              </w:tc>
              <w:tc>
                <w:tcPr>
                  <w:tcW w:w="173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61-90 Days</w:t>
                  </w:r>
                </w:p>
              </w:tc>
              <w:tc>
                <w:tcPr>
                  <w:tcW w:w="159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91+ Days</w:t>
                  </w:r>
                </w:p>
              </w:tc>
              <w:tc>
                <w:tcPr>
                  <w:tcW w:w="1816" w:type="dxa"/>
                  <w:tcBorders>
                    <w:top w:val="single" w:sz="4" w:space="0" w:color="auto"/>
                    <w:left w:val="nil"/>
                    <w:bottom w:val="single" w:sz="4" w:space="0" w:color="auto"/>
                    <w:right w:val="single" w:sz="4" w:space="0" w:color="auto"/>
                  </w:tcBorders>
                  <w:shd w:val="clear" w:color="000000" w:fill="BDD7EE"/>
                  <w:noWrap/>
                  <w:vAlign w:val="bottom"/>
                  <w:hideMark/>
                </w:tcPr>
                <w:p w:rsidR="000D36B7" w:rsidRPr="00563518" w:rsidRDefault="000D36B7" w:rsidP="000D36B7">
                  <w:pPr>
                    <w:spacing w:after="0" w:line="240" w:lineRule="auto"/>
                    <w:jc w:val="center"/>
                    <w:rPr>
                      <w:rFonts w:ascii="Calibri" w:eastAsia="Times New Roman" w:hAnsi="Calibri" w:cs="Calibri"/>
                      <w:b/>
                      <w:bCs/>
                      <w:color w:val="000000"/>
                    </w:rPr>
                  </w:pPr>
                  <w:r w:rsidRPr="00563518">
                    <w:rPr>
                      <w:rFonts w:ascii="Calibri" w:eastAsia="Times New Roman" w:hAnsi="Calibri" w:cs="Calibri"/>
                      <w:b/>
                      <w:bCs/>
                      <w:color w:val="000000"/>
                    </w:rPr>
                    <w:t>Total</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Sep</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631,154.87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404,215.75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100.00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750.00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1,036,220.62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Oct*</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41,934.67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855,275.39 </w:t>
                  </w:r>
                </w:p>
              </w:tc>
              <w:tc>
                <w:tcPr>
                  <w:tcW w:w="167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1,610,077.65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760.00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2,508,047.71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Nov</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38,279.61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54,832.91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10,566.64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760.00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104,439.16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2023</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Dec</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22,410.70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127,937.17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6,002.08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11,760.00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168,109.95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Jan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104,916.51 </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329,255.48 </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6,234.60 </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5,500.00 </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11,760.00 </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457,666.59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Feb</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Apr</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May</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Jun</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2024</w:t>
                  </w: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Jul</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300"/>
              </w:trPr>
              <w:tc>
                <w:tcPr>
                  <w:tcW w:w="12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lastRenderedPageBreak/>
                    <w:t>2024</w:t>
                  </w:r>
                </w:p>
              </w:tc>
              <w:tc>
                <w:tcPr>
                  <w:tcW w:w="1436" w:type="dxa"/>
                  <w:tcBorders>
                    <w:top w:val="nil"/>
                    <w:left w:val="nil"/>
                    <w:bottom w:val="single" w:sz="8" w:space="0" w:color="auto"/>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r w:rsidRPr="00563518">
                    <w:rPr>
                      <w:rFonts w:ascii="Calibri" w:eastAsia="Times New Roman" w:hAnsi="Calibri" w:cs="Calibri"/>
                      <w:color w:val="000000"/>
                    </w:rPr>
                    <w:t>Aug</w:t>
                  </w: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838,696.36 </w:t>
                  </w:r>
                </w:p>
              </w:tc>
              <w:tc>
                <w:tcPr>
                  <w:tcW w:w="18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1,771,516.70 </w:t>
                  </w:r>
                </w:p>
              </w:tc>
              <w:tc>
                <w:tcPr>
                  <w:tcW w:w="167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1,622,414.33 </w:t>
                  </w:r>
                </w:p>
              </w:tc>
              <w:tc>
                <w:tcPr>
                  <w:tcW w:w="173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16,816.64 </w:t>
                  </w:r>
                </w:p>
              </w:tc>
              <w:tc>
                <w:tcPr>
                  <w:tcW w:w="159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25,040.00 </w:t>
                  </w:r>
                </w:p>
              </w:tc>
              <w:tc>
                <w:tcPr>
                  <w:tcW w:w="1816" w:type="dxa"/>
                  <w:tcBorders>
                    <w:top w:val="single" w:sz="4" w:space="0" w:color="auto"/>
                    <w:left w:val="nil"/>
                    <w:bottom w:val="double" w:sz="6" w:space="0" w:color="auto"/>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 xml:space="preserve">           4,274,484.03 </w:t>
                  </w:r>
                </w:p>
              </w:tc>
            </w:tr>
            <w:tr w:rsidR="000D36B7" w:rsidRPr="00563518" w:rsidTr="00DF60CD">
              <w:trPr>
                <w:trHeight w:val="30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19.6%</w:t>
                  </w: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41.4%</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38.0%</w:t>
                  </w: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0.4%</w:t>
                  </w: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0.6%</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r w:rsidRPr="00563518">
                    <w:rPr>
                      <w:rFonts w:ascii="Calibri" w:eastAsia="Times New Roman" w:hAnsi="Calibri" w:cs="Calibri"/>
                      <w:color w:val="000000"/>
                    </w:rPr>
                    <w:t>100.0%</w:t>
                  </w: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color w:val="000000"/>
                    </w:rPr>
                  </w:pPr>
                </w:p>
              </w:tc>
              <w:tc>
                <w:tcPr>
                  <w:tcW w:w="14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center"/>
                    <w:rPr>
                      <w:rFonts w:ascii="Calibri" w:eastAsia="Times New Roman" w:hAnsi="Calibri" w:cs="Calibri"/>
                      <w:b/>
                      <w:bCs/>
                      <w:color w:val="FF0000"/>
                    </w:rPr>
                  </w:pPr>
                  <w:r w:rsidRPr="00563518">
                    <w:rPr>
                      <w:rFonts w:ascii="Calibri" w:eastAsia="Times New Roman" w:hAnsi="Calibri" w:cs="Calibri"/>
                      <w:b/>
                      <w:bCs/>
                      <w:color w:val="FF0000"/>
                    </w:rPr>
                    <w:t>Current</w:t>
                  </w:r>
                </w:p>
              </w:tc>
              <w:tc>
                <w:tcPr>
                  <w:tcW w:w="183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rPr>
                      <w:rFonts w:ascii="Calibri" w:eastAsia="Times New Roman" w:hAnsi="Calibri" w:cs="Calibri"/>
                      <w:b/>
                      <w:bCs/>
                      <w:color w:val="FF0000"/>
                    </w:rPr>
                  </w:pPr>
                  <w:r w:rsidRPr="00563518">
                    <w:rPr>
                      <w:rFonts w:ascii="Calibri" w:eastAsia="Times New Roman" w:hAnsi="Calibri" w:cs="Calibri"/>
                      <w:b/>
                      <w:bCs/>
                      <w:color w:val="FF0000"/>
                    </w:rPr>
                    <w:t> </w:t>
                  </w:r>
                </w:p>
              </w:tc>
              <w:tc>
                <w:tcPr>
                  <w:tcW w:w="1896" w:type="dxa"/>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r w:rsidRPr="00563518">
                    <w:rPr>
                      <w:rFonts w:ascii="Calibri" w:eastAsia="Times New Roman" w:hAnsi="Calibri" w:cs="Calibri"/>
                      <w:b/>
                      <w:bCs/>
                      <w:color w:val="FF0000"/>
                    </w:rPr>
                    <w:t>61.1%</w:t>
                  </w: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right"/>
                    <w:rPr>
                      <w:rFonts w:ascii="Calibri" w:eastAsia="Times New Roman" w:hAnsi="Calibri" w:cs="Calibri"/>
                      <w:b/>
                      <w:bCs/>
                      <w:color w:val="FF000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r w:rsidR="000D36B7" w:rsidRPr="00563518" w:rsidTr="00DF60CD">
              <w:trPr>
                <w:trHeight w:val="288"/>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color w:val="000000"/>
                    </w:rPr>
                  </w:pPr>
                  <w:r w:rsidRPr="00563518">
                    <w:rPr>
                      <w:rFonts w:ascii="Calibri" w:eastAsia="Times New Roman" w:hAnsi="Calibri" w:cs="Calibri"/>
                      <w:color w:val="000000"/>
                    </w:rPr>
                    <w:t>Note *</w:t>
                  </w:r>
                </w:p>
              </w:tc>
              <w:tc>
                <w:tcPr>
                  <w:tcW w:w="10176" w:type="dxa"/>
                  <w:gridSpan w:val="6"/>
                  <w:tcBorders>
                    <w:top w:val="nil"/>
                    <w:left w:val="nil"/>
                    <w:bottom w:val="nil"/>
                    <w:right w:val="nil"/>
                  </w:tcBorders>
                  <w:shd w:val="clear" w:color="000000" w:fill="FFFF00"/>
                  <w:noWrap/>
                  <w:vAlign w:val="bottom"/>
                  <w:hideMark/>
                </w:tcPr>
                <w:p w:rsidR="000D36B7" w:rsidRPr="00563518" w:rsidRDefault="000D36B7" w:rsidP="000D36B7">
                  <w:pPr>
                    <w:spacing w:after="0" w:line="240" w:lineRule="auto"/>
                    <w:rPr>
                      <w:rFonts w:ascii="Calibri" w:eastAsia="Times New Roman" w:hAnsi="Calibri" w:cs="Calibri"/>
                      <w:b/>
                      <w:bCs/>
                      <w:color w:val="FF0000"/>
                    </w:rPr>
                  </w:pPr>
                  <w:r w:rsidRPr="00563518">
                    <w:rPr>
                      <w:rFonts w:ascii="Calibri" w:eastAsia="Times New Roman" w:hAnsi="Calibri" w:cs="Calibri"/>
                      <w:b/>
                      <w:bCs/>
                      <w:color w:val="FF0000"/>
                    </w:rPr>
                    <w:t>B&amp;N-While invoice is dated 9/11/23,received by Student AR on 9/25/23, input into Workday 10/25/23</w:t>
                  </w: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Calibri" w:eastAsia="Times New Roman" w:hAnsi="Calibri" w:cs="Calibri"/>
                      <w:b/>
                      <w:bCs/>
                      <w:color w:val="FF0000"/>
                    </w:rPr>
                  </w:pPr>
                </w:p>
              </w:tc>
            </w:tr>
            <w:tr w:rsidR="000D36B7" w:rsidRPr="00563518" w:rsidTr="00DF60CD">
              <w:trPr>
                <w:trHeight w:val="120"/>
              </w:trPr>
              <w:tc>
                <w:tcPr>
                  <w:tcW w:w="12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jc w:val="center"/>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67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73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c>
                <w:tcPr>
                  <w:tcW w:w="1816" w:type="dxa"/>
                  <w:tcBorders>
                    <w:top w:val="nil"/>
                    <w:left w:val="nil"/>
                    <w:bottom w:val="nil"/>
                    <w:right w:val="nil"/>
                  </w:tcBorders>
                  <w:shd w:val="clear" w:color="auto" w:fill="auto"/>
                  <w:noWrap/>
                  <w:vAlign w:val="bottom"/>
                  <w:hideMark/>
                </w:tcPr>
                <w:p w:rsidR="000D36B7" w:rsidRPr="00563518" w:rsidRDefault="000D36B7" w:rsidP="000D36B7">
                  <w:pPr>
                    <w:spacing w:after="0" w:line="240" w:lineRule="auto"/>
                    <w:rPr>
                      <w:rFonts w:ascii="Times New Roman" w:eastAsia="Times New Roman" w:hAnsi="Times New Roman" w:cs="Times New Roman"/>
                      <w:sz w:val="20"/>
                      <w:szCs w:val="20"/>
                    </w:rPr>
                  </w:pPr>
                </w:p>
              </w:tc>
            </w:tr>
          </w:tbl>
          <w:p w:rsidR="000D36B7" w:rsidRPr="00F62579" w:rsidRDefault="000D36B7" w:rsidP="000D36B7">
            <w:pPr>
              <w:pStyle w:val="NoSpacing"/>
              <w:jc w:val="both"/>
              <w:rPr>
                <w:rFonts w:ascii="Arial" w:hAnsi="Arial" w:cs="Arial"/>
                <w:sz w:val="20"/>
                <w:szCs w:val="20"/>
              </w:rPr>
            </w:pP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lastRenderedPageBreak/>
              <w:t>Findings (Outcome #</w:t>
            </w:r>
            <w:r w:rsidR="006172EA">
              <w:rPr>
                <w:rFonts w:ascii="Arial" w:hAnsi="Arial" w:cs="Arial"/>
                <w:b/>
                <w:sz w:val="20"/>
                <w:szCs w:val="20"/>
              </w:rPr>
              <w:t>2</w:t>
            </w:r>
            <w:r w:rsidRPr="00210107">
              <w:rPr>
                <w:rFonts w:ascii="Arial" w:hAnsi="Arial" w:cs="Arial"/>
                <w:b/>
                <w:sz w:val="20"/>
                <w:szCs w:val="20"/>
              </w:rPr>
              <w:t>)</w:t>
            </w:r>
          </w:p>
          <w:p w:rsidR="0048183F" w:rsidRDefault="0048183F" w:rsidP="0048183F">
            <w:pPr>
              <w:pStyle w:val="NoSpacing"/>
              <w:jc w:val="both"/>
              <w:rPr>
                <w:rFonts w:ascii="Arial" w:hAnsi="Arial" w:cs="Arial"/>
                <w:sz w:val="20"/>
                <w:szCs w:val="20"/>
              </w:rPr>
            </w:pPr>
            <w:r>
              <w:rPr>
                <w:rFonts w:ascii="Arial" w:hAnsi="Arial" w:cs="Arial"/>
                <w:sz w:val="20"/>
                <w:szCs w:val="20"/>
              </w:rPr>
              <w:t>A review of the Financial Aging Detail for Accounting Period for supplier payments reveals an improvement in processing time from FY22 to FY23.  In the category of Current, 85.5% was noted for FY22, and improved to 98.2% current by FY23.  A review of the FY24 aging shows an outstanding vendor payment in the 31-60 day category, which skews the percentages.  A review of the outstanding balances in that category shows one vendor payment was input using the Invoice Date on the Supplier’s Invoice when in fact, the District did not receive the invoice until 2 weeks later.  In addition, a Student AR performs a reconciliation to ensure invoice is accurate, which delayed payment for a month afterwards.  The statistics for AP Vendor Invoice Aging can be found below. AP staff have refined the three-way match process (PO-Vendor Invoice-Receipt) so there are fewer exceptions to manage</w:t>
            </w:r>
            <w:r w:rsidR="008F2269">
              <w:rPr>
                <w:rFonts w:ascii="Arial" w:hAnsi="Arial" w:cs="Arial"/>
                <w:sz w:val="20"/>
                <w:szCs w:val="20"/>
              </w:rPr>
              <w:t xml:space="preserve"> by </w:t>
            </w:r>
            <w:r w:rsidR="00176D3E">
              <w:rPr>
                <w:rFonts w:ascii="Arial" w:hAnsi="Arial" w:cs="Arial"/>
                <w:sz w:val="20"/>
                <w:szCs w:val="20"/>
              </w:rPr>
              <w:t>modifying tolerances for minor differences</w:t>
            </w:r>
            <w:r>
              <w:rPr>
                <w:rFonts w:ascii="Arial" w:hAnsi="Arial" w:cs="Arial"/>
                <w:sz w:val="20"/>
                <w:szCs w:val="20"/>
              </w:rPr>
              <w:t>, which ultimately delays processing payment.</w:t>
            </w:r>
          </w:p>
          <w:p w:rsidR="0048183F" w:rsidRPr="0048183F" w:rsidRDefault="0048183F" w:rsidP="0048183F">
            <w:pPr>
              <w:pStyle w:val="NoSpacing"/>
              <w:rPr>
                <w:rFonts w:ascii="Arial" w:hAnsi="Arial" w:cs="Arial"/>
                <w:sz w:val="20"/>
                <w:szCs w:val="20"/>
              </w:rPr>
            </w:pPr>
          </w:p>
          <w:p w:rsidR="00C76636" w:rsidRPr="00210107" w:rsidRDefault="00C76636" w:rsidP="00C76636">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48183F" w:rsidRPr="0048183F" w:rsidRDefault="00920EBA" w:rsidP="0048183F">
            <w:pPr>
              <w:pStyle w:val="NoSpacing"/>
              <w:rPr>
                <w:rFonts w:ascii="Arial" w:hAnsi="Arial" w:cs="Arial"/>
                <w:sz w:val="20"/>
                <w:szCs w:val="20"/>
              </w:rPr>
            </w:pPr>
            <w:r>
              <w:rPr>
                <w:rFonts w:ascii="Arial" w:hAnsi="Arial" w:cs="Arial"/>
                <w:sz w:val="20"/>
                <w:szCs w:val="20"/>
              </w:rPr>
              <w:t xml:space="preserve">AP Manager will be running the Expense Report Lifecyle Report and updating staff regarding timely processing of reports.  Outliers will be investigated and expedited if possible. </w:t>
            </w:r>
            <w:r w:rsidR="0048183F">
              <w:rPr>
                <w:rFonts w:ascii="Arial" w:hAnsi="Arial" w:cs="Arial"/>
                <w:sz w:val="20"/>
                <w:szCs w:val="20"/>
              </w:rPr>
              <w:t>Account reconciliations by accounting helps maintain a timely review of the AP Aging allowing immediate follow up on aging items.</w:t>
            </w:r>
          </w:p>
        </w:tc>
      </w:tr>
    </w:tbl>
    <w:p w:rsidR="007F4753" w:rsidRDefault="00216AB3" w:rsidP="001A7A83">
      <w:pPr>
        <w:tabs>
          <w:tab w:val="left" w:pos="690"/>
          <w:tab w:val="left" w:pos="4575"/>
        </w:tabs>
      </w:pPr>
      <w:r>
        <w:tab/>
      </w:r>
      <w:r>
        <w:tab/>
      </w:r>
    </w:p>
    <w:tbl>
      <w:tblPr>
        <w:tblStyle w:val="TableGrid"/>
        <w:tblW w:w="13518" w:type="dxa"/>
        <w:tblInd w:w="-23" w:type="dxa"/>
        <w:tblLayout w:type="fixed"/>
        <w:tblLook w:val="04A0" w:firstRow="1" w:lastRow="0" w:firstColumn="1" w:lastColumn="0" w:noHBand="0" w:noVBand="1"/>
      </w:tblPr>
      <w:tblGrid>
        <w:gridCol w:w="7020"/>
        <w:gridCol w:w="6498"/>
      </w:tblGrid>
      <w:tr w:rsidR="00216AB3" w:rsidRPr="00210107" w:rsidTr="00E6248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Pr="00210107"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216AB3" w:rsidRPr="00210107" w:rsidRDefault="002D561E" w:rsidP="00E62489">
            <w:pPr>
              <w:pStyle w:val="NoSpacing"/>
              <w:rPr>
                <w:rFonts w:ascii="Arial" w:hAnsi="Arial" w:cs="Arial"/>
                <w:sz w:val="20"/>
                <w:szCs w:val="20"/>
              </w:rPr>
            </w:pPr>
            <w:r>
              <w:rPr>
                <w:rFonts w:ascii="Arial" w:hAnsi="Arial" w:cs="Arial"/>
                <w:sz w:val="20"/>
                <w:szCs w:val="20"/>
              </w:rPr>
              <w:t xml:space="preserve">Identify unmet needs for utilization and reporting purposes and modify dashboards to assist end users.  </w:t>
            </w:r>
          </w:p>
        </w:tc>
      </w:tr>
      <w:tr w:rsidR="00216AB3" w:rsidRPr="00210107" w:rsidTr="00E6248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Pr="00210107"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216AB3" w:rsidRPr="00210107" w:rsidRDefault="00AB27F7" w:rsidP="00E62489">
            <w:pPr>
              <w:pStyle w:val="NoSpacing"/>
              <w:rPr>
                <w:rFonts w:ascii="Arial" w:hAnsi="Arial" w:cs="Arial"/>
                <w:sz w:val="20"/>
                <w:szCs w:val="20"/>
              </w:rPr>
            </w:pPr>
            <w:r>
              <w:rPr>
                <w:rFonts w:ascii="Arial" w:hAnsi="Arial" w:cs="Arial"/>
                <w:sz w:val="20"/>
                <w:szCs w:val="20"/>
              </w:rPr>
              <w:t>Develop/modify dashboard based on feedback from questionnaire.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Pr="00210107"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216AB3" w:rsidRPr="00210107" w:rsidRDefault="00AB27F7" w:rsidP="00E62489">
            <w:pPr>
              <w:pStyle w:val="NoSpacing"/>
              <w:rPr>
                <w:rFonts w:ascii="Arial" w:hAnsi="Arial" w:cs="Arial"/>
                <w:sz w:val="20"/>
                <w:szCs w:val="20"/>
              </w:rPr>
            </w:pPr>
            <w:r>
              <w:rPr>
                <w:rFonts w:ascii="Arial" w:hAnsi="Arial" w:cs="Arial"/>
                <w:sz w:val="20"/>
                <w:szCs w:val="20"/>
              </w:rPr>
              <w:t>Reliability of reports to end users.</w:t>
            </w:r>
          </w:p>
        </w:tc>
      </w:tr>
      <w:tr w:rsidR="00216AB3" w:rsidRPr="00210107" w:rsidTr="00E6248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Pr="00210107"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p>
          <w:p w:rsidR="00216AB3" w:rsidRPr="00E94970" w:rsidRDefault="00AB27F7" w:rsidP="00E62489">
            <w:pPr>
              <w:pStyle w:val="NoSpacing"/>
              <w:rPr>
                <w:rFonts w:ascii="Arial" w:hAnsi="Arial" w:cs="Arial"/>
                <w:sz w:val="20"/>
                <w:szCs w:val="20"/>
              </w:rPr>
            </w:pPr>
            <w:r w:rsidRPr="00E94970">
              <w:rPr>
                <w:rFonts w:ascii="Arial" w:hAnsi="Arial" w:cs="Arial"/>
                <w:sz w:val="20"/>
                <w:szCs w:val="20"/>
              </w:rPr>
              <w:t>Survey end uses on unmet needs.</w:t>
            </w:r>
            <w:r w:rsidR="00216AB3" w:rsidRPr="00E94970">
              <w:rPr>
                <w:rFonts w:ascii="Arial" w:hAnsi="Arial" w:cs="Arial"/>
                <w:sz w:val="20"/>
                <w:szCs w:val="20"/>
              </w:rPr>
              <w:t xml:space="preserve"> </w:t>
            </w:r>
          </w:p>
        </w:tc>
      </w:tr>
      <w:tr w:rsidR="00216AB3" w:rsidRPr="00210107" w:rsidTr="00E6248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48183F" w:rsidRDefault="0048183F" w:rsidP="00CE57CC">
            <w:pPr>
              <w:pStyle w:val="NoSpacing"/>
              <w:jc w:val="both"/>
              <w:rPr>
                <w:rFonts w:ascii="Arial" w:hAnsi="Arial" w:cs="Arial"/>
                <w:sz w:val="20"/>
                <w:szCs w:val="20"/>
              </w:rPr>
            </w:pPr>
            <w:r>
              <w:rPr>
                <w:rFonts w:ascii="Arial" w:hAnsi="Arial" w:cs="Arial"/>
                <w:sz w:val="20"/>
                <w:szCs w:val="20"/>
              </w:rPr>
              <w:t xml:space="preserve">Dashboard was created for Board of Trustees at the President’s request.  </w:t>
            </w:r>
            <w:r w:rsidR="00CE57CC">
              <w:rPr>
                <w:rFonts w:ascii="Arial" w:hAnsi="Arial" w:cs="Arial"/>
                <w:sz w:val="20"/>
                <w:szCs w:val="20"/>
              </w:rPr>
              <w:t>Dashboard includes the following financial reports:</w:t>
            </w:r>
          </w:p>
          <w:p w:rsidR="00CE57CC" w:rsidRDefault="00CE57CC" w:rsidP="00CE57CC">
            <w:pPr>
              <w:pStyle w:val="NoSpacing"/>
              <w:numPr>
                <w:ilvl w:val="0"/>
                <w:numId w:val="7"/>
              </w:numPr>
              <w:jc w:val="both"/>
              <w:rPr>
                <w:rFonts w:ascii="Arial" w:hAnsi="Arial" w:cs="Arial"/>
                <w:sz w:val="20"/>
                <w:szCs w:val="20"/>
              </w:rPr>
            </w:pPr>
            <w:r>
              <w:rPr>
                <w:rFonts w:ascii="Arial" w:hAnsi="Arial" w:cs="Arial"/>
                <w:sz w:val="20"/>
                <w:szCs w:val="20"/>
              </w:rPr>
              <w:t>GASB Statement of Net Position</w:t>
            </w:r>
          </w:p>
          <w:p w:rsidR="00CE57CC" w:rsidRDefault="00CE57CC" w:rsidP="00CE57CC">
            <w:pPr>
              <w:pStyle w:val="NoSpacing"/>
              <w:numPr>
                <w:ilvl w:val="0"/>
                <w:numId w:val="7"/>
              </w:numPr>
              <w:jc w:val="both"/>
              <w:rPr>
                <w:rFonts w:ascii="Arial" w:hAnsi="Arial" w:cs="Arial"/>
                <w:sz w:val="20"/>
                <w:szCs w:val="20"/>
              </w:rPr>
            </w:pPr>
            <w:r>
              <w:rPr>
                <w:rFonts w:ascii="Arial" w:hAnsi="Arial" w:cs="Arial"/>
                <w:sz w:val="20"/>
                <w:szCs w:val="20"/>
              </w:rPr>
              <w:lastRenderedPageBreak/>
              <w:t>GASB Statement of Revenues, Expenses, and Changes in Net Position with Budgets</w:t>
            </w:r>
          </w:p>
          <w:p w:rsidR="00CE57CC" w:rsidRPr="0048183F" w:rsidRDefault="00CE57CC" w:rsidP="0048183F">
            <w:pPr>
              <w:pStyle w:val="NoSpacing"/>
              <w:rPr>
                <w:rFonts w:ascii="Arial" w:hAnsi="Arial" w:cs="Arial"/>
                <w:sz w:val="20"/>
                <w:szCs w:val="20"/>
              </w:rPr>
            </w:pPr>
          </w:p>
          <w:p w:rsidR="00216AB3" w:rsidRPr="00210107" w:rsidRDefault="00216AB3" w:rsidP="00E62489">
            <w:pPr>
              <w:pStyle w:val="NoSpacing"/>
              <w:rPr>
                <w:rFonts w:ascii="Arial" w:hAnsi="Arial" w:cs="Arial"/>
                <w:sz w:val="20"/>
                <w:szCs w:val="20"/>
              </w:rPr>
            </w:pPr>
          </w:p>
        </w:tc>
      </w:tr>
      <w:tr w:rsidR="00216AB3" w:rsidRPr="00210107" w:rsidTr="00E6248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Pr="00210107"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lastRenderedPageBreak/>
              <w:t>Findings (Outcome #</w:t>
            </w:r>
            <w:r>
              <w:rPr>
                <w:rFonts w:ascii="Arial" w:hAnsi="Arial" w:cs="Arial"/>
                <w:b/>
                <w:sz w:val="20"/>
                <w:szCs w:val="20"/>
              </w:rPr>
              <w:t>3</w:t>
            </w:r>
            <w:r w:rsidRPr="00210107">
              <w:rPr>
                <w:rFonts w:ascii="Arial" w:hAnsi="Arial" w:cs="Arial"/>
                <w:b/>
                <w:sz w:val="20"/>
                <w:szCs w:val="20"/>
              </w:rPr>
              <w:t>)</w:t>
            </w:r>
          </w:p>
          <w:p w:rsidR="00216AB3" w:rsidRPr="00210107" w:rsidRDefault="00216AB3" w:rsidP="00E62489">
            <w:pPr>
              <w:pStyle w:val="NoSpacing"/>
              <w:rPr>
                <w:rFonts w:ascii="Arial" w:hAnsi="Arial" w:cs="Arial"/>
                <w:sz w:val="20"/>
                <w:szCs w:val="20"/>
              </w:rPr>
            </w:pPr>
          </w:p>
        </w:tc>
      </w:tr>
      <w:tr w:rsidR="00216AB3" w:rsidRPr="00210107" w:rsidTr="00E6248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216AB3" w:rsidRDefault="00216AB3" w:rsidP="00216AB3">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p w:rsidR="00920EBA" w:rsidRPr="00920EBA" w:rsidRDefault="00920EBA" w:rsidP="00920EBA">
            <w:pPr>
              <w:pStyle w:val="NoSpacing"/>
              <w:rPr>
                <w:rFonts w:ascii="Arial" w:hAnsi="Arial" w:cs="Arial"/>
                <w:sz w:val="20"/>
                <w:szCs w:val="20"/>
              </w:rPr>
            </w:pPr>
          </w:p>
        </w:tc>
      </w:tr>
    </w:tbl>
    <w:p w:rsidR="00216AB3" w:rsidRDefault="00216AB3" w:rsidP="001A7A83">
      <w:pPr>
        <w:tabs>
          <w:tab w:val="left" w:pos="690"/>
          <w:tab w:val="left" w:pos="4575"/>
        </w:tabs>
      </w:pPr>
    </w:p>
    <w:sectPr w:rsidR="00216AB3" w:rsidSect="00F25D44">
      <w:headerReference w:type="default" r:id="rId9"/>
      <w:footerReference w:type="default" r:id="rId10"/>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BA4" w:rsidRDefault="00347BA4" w:rsidP="0002489A">
      <w:pPr>
        <w:spacing w:after="0" w:line="240" w:lineRule="auto"/>
      </w:pPr>
      <w:r>
        <w:separator/>
      </w:r>
    </w:p>
  </w:endnote>
  <w:endnote w:type="continuationSeparator" w:id="0">
    <w:p w:rsidR="00347BA4" w:rsidRDefault="00347BA4"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E62489" w:rsidRDefault="00E624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E62489" w:rsidRDefault="00E6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BA4" w:rsidRDefault="00347BA4" w:rsidP="0002489A">
      <w:pPr>
        <w:spacing w:after="0" w:line="240" w:lineRule="auto"/>
      </w:pPr>
      <w:r>
        <w:separator/>
      </w:r>
    </w:p>
  </w:footnote>
  <w:footnote w:type="continuationSeparator" w:id="0">
    <w:p w:rsidR="00347BA4" w:rsidRDefault="00347BA4"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89" w:rsidRDefault="00E62489" w:rsidP="00173023">
    <w:pPr>
      <w:pStyle w:val="Header"/>
      <w:jc w:val="right"/>
      <w:rPr>
        <w:i/>
      </w:rPr>
    </w:pPr>
    <w:r>
      <w:rPr>
        <w:i/>
      </w:rPr>
      <w:t xml:space="preserve">Rev. 11/2020 </w:t>
    </w:r>
    <w:proofErr w:type="spellStart"/>
    <w:r>
      <w:rPr>
        <w:i/>
      </w:rPr>
      <w:t>bmb</w:t>
    </w:r>
    <w:proofErr w:type="spellEnd"/>
  </w:p>
  <w:p w:rsidR="00E62489" w:rsidRPr="00173023" w:rsidRDefault="00E62489"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A88"/>
    <w:multiLevelType w:val="hybridMultilevel"/>
    <w:tmpl w:val="1B165A0E"/>
    <w:lvl w:ilvl="0" w:tplc="3D147E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065C23"/>
    <w:multiLevelType w:val="hybridMultilevel"/>
    <w:tmpl w:val="C5A29306"/>
    <w:lvl w:ilvl="0" w:tplc="3D147EE2">
      <w:start w:val="1"/>
      <w:numFmt w:val="decimal"/>
      <w:lvlText w:val="%1."/>
      <w:lvlJc w:val="left"/>
      <w:pPr>
        <w:ind w:left="10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B650F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75CF0"/>
    <w:multiLevelType w:val="hybridMultilevel"/>
    <w:tmpl w:val="0A06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023AB"/>
    <w:multiLevelType w:val="hybridMultilevel"/>
    <w:tmpl w:val="122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D36B7"/>
    <w:rsid w:val="000E2EAF"/>
    <w:rsid w:val="000F18FC"/>
    <w:rsid w:val="000F4F3C"/>
    <w:rsid w:val="00110AAC"/>
    <w:rsid w:val="00173023"/>
    <w:rsid w:val="00176D3E"/>
    <w:rsid w:val="00195160"/>
    <w:rsid w:val="001A7A83"/>
    <w:rsid w:val="001B42F6"/>
    <w:rsid w:val="001D4BB0"/>
    <w:rsid w:val="001E0783"/>
    <w:rsid w:val="00210107"/>
    <w:rsid w:val="00216AB3"/>
    <w:rsid w:val="002657C1"/>
    <w:rsid w:val="0028189E"/>
    <w:rsid w:val="002D5545"/>
    <w:rsid w:val="002D561E"/>
    <w:rsid w:val="002E1129"/>
    <w:rsid w:val="002F5450"/>
    <w:rsid w:val="00347BA4"/>
    <w:rsid w:val="00366166"/>
    <w:rsid w:val="003837E0"/>
    <w:rsid w:val="00441688"/>
    <w:rsid w:val="0048183F"/>
    <w:rsid w:val="004C586B"/>
    <w:rsid w:val="004C7267"/>
    <w:rsid w:val="004D79FF"/>
    <w:rsid w:val="004F2961"/>
    <w:rsid w:val="00517E19"/>
    <w:rsid w:val="005241C6"/>
    <w:rsid w:val="00563518"/>
    <w:rsid w:val="005656D6"/>
    <w:rsid w:val="005A203A"/>
    <w:rsid w:val="005C60D2"/>
    <w:rsid w:val="005D66CF"/>
    <w:rsid w:val="006172EA"/>
    <w:rsid w:val="006672D5"/>
    <w:rsid w:val="00671453"/>
    <w:rsid w:val="006E18BD"/>
    <w:rsid w:val="007052D4"/>
    <w:rsid w:val="00746F2D"/>
    <w:rsid w:val="00761D43"/>
    <w:rsid w:val="007B5A78"/>
    <w:rsid w:val="007C3F60"/>
    <w:rsid w:val="007D11B3"/>
    <w:rsid w:val="007F4753"/>
    <w:rsid w:val="008410E5"/>
    <w:rsid w:val="00847DBF"/>
    <w:rsid w:val="008A27FB"/>
    <w:rsid w:val="008C206C"/>
    <w:rsid w:val="008C6AD9"/>
    <w:rsid w:val="008E2C52"/>
    <w:rsid w:val="008F2269"/>
    <w:rsid w:val="009055F0"/>
    <w:rsid w:val="00915FA8"/>
    <w:rsid w:val="00920EBA"/>
    <w:rsid w:val="009617FF"/>
    <w:rsid w:val="0098162F"/>
    <w:rsid w:val="00993C83"/>
    <w:rsid w:val="009A0AE9"/>
    <w:rsid w:val="009E3359"/>
    <w:rsid w:val="009F702B"/>
    <w:rsid w:val="00A22D6B"/>
    <w:rsid w:val="00A425A8"/>
    <w:rsid w:val="00A53228"/>
    <w:rsid w:val="00AA4C7F"/>
    <w:rsid w:val="00AB27F7"/>
    <w:rsid w:val="00AE4294"/>
    <w:rsid w:val="00AF243B"/>
    <w:rsid w:val="00AF4DD1"/>
    <w:rsid w:val="00B44575"/>
    <w:rsid w:val="00B57654"/>
    <w:rsid w:val="00B65CE1"/>
    <w:rsid w:val="00B77CFF"/>
    <w:rsid w:val="00BA07FB"/>
    <w:rsid w:val="00BE7B86"/>
    <w:rsid w:val="00C10B61"/>
    <w:rsid w:val="00C76636"/>
    <w:rsid w:val="00CD1911"/>
    <w:rsid w:val="00CE3C6C"/>
    <w:rsid w:val="00CE57CC"/>
    <w:rsid w:val="00D21AC7"/>
    <w:rsid w:val="00D2274C"/>
    <w:rsid w:val="00D326F6"/>
    <w:rsid w:val="00D87631"/>
    <w:rsid w:val="00D97A5B"/>
    <w:rsid w:val="00DD48F3"/>
    <w:rsid w:val="00E62489"/>
    <w:rsid w:val="00E87527"/>
    <w:rsid w:val="00E94970"/>
    <w:rsid w:val="00EA1C0D"/>
    <w:rsid w:val="00F25D44"/>
    <w:rsid w:val="00F547BD"/>
    <w:rsid w:val="00F54CA0"/>
    <w:rsid w:val="00F62579"/>
    <w:rsid w:val="00F63DB4"/>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D4AB"/>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character" w:styleId="UnresolvedMention">
    <w:name w:val="Unresolved Mention"/>
    <w:basedOn w:val="DefaultParagraphFont"/>
    <w:uiPriority w:val="99"/>
    <w:semiHidden/>
    <w:unhideWhenUsed/>
    <w:rsid w:val="0061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875">
      <w:bodyDiv w:val="1"/>
      <w:marLeft w:val="0"/>
      <w:marRight w:val="0"/>
      <w:marTop w:val="0"/>
      <w:marBottom w:val="0"/>
      <w:divBdr>
        <w:top w:val="none" w:sz="0" w:space="0" w:color="auto"/>
        <w:left w:val="none" w:sz="0" w:space="0" w:color="auto"/>
        <w:bottom w:val="none" w:sz="0" w:space="0" w:color="auto"/>
        <w:right w:val="none" w:sz="0" w:space="0" w:color="auto"/>
      </w:divBdr>
    </w:div>
    <w:div w:id="188185277">
      <w:bodyDiv w:val="1"/>
      <w:marLeft w:val="0"/>
      <w:marRight w:val="0"/>
      <w:marTop w:val="0"/>
      <w:marBottom w:val="0"/>
      <w:divBdr>
        <w:top w:val="none" w:sz="0" w:space="0" w:color="auto"/>
        <w:left w:val="none" w:sz="0" w:space="0" w:color="auto"/>
        <w:bottom w:val="none" w:sz="0" w:space="0" w:color="auto"/>
        <w:right w:val="none" w:sz="0" w:space="0" w:color="auto"/>
      </w:divBdr>
    </w:div>
    <w:div w:id="197621067">
      <w:bodyDiv w:val="1"/>
      <w:marLeft w:val="0"/>
      <w:marRight w:val="0"/>
      <w:marTop w:val="0"/>
      <w:marBottom w:val="0"/>
      <w:divBdr>
        <w:top w:val="none" w:sz="0" w:space="0" w:color="auto"/>
        <w:left w:val="none" w:sz="0" w:space="0" w:color="auto"/>
        <w:bottom w:val="none" w:sz="0" w:space="0" w:color="auto"/>
        <w:right w:val="none" w:sz="0" w:space="0" w:color="auto"/>
      </w:divBdr>
    </w:div>
    <w:div w:id="391122620">
      <w:bodyDiv w:val="1"/>
      <w:marLeft w:val="0"/>
      <w:marRight w:val="0"/>
      <w:marTop w:val="0"/>
      <w:marBottom w:val="0"/>
      <w:divBdr>
        <w:top w:val="none" w:sz="0" w:space="0" w:color="auto"/>
        <w:left w:val="none" w:sz="0" w:space="0" w:color="auto"/>
        <w:bottom w:val="none" w:sz="0" w:space="0" w:color="auto"/>
        <w:right w:val="none" w:sz="0" w:space="0" w:color="auto"/>
      </w:divBdr>
    </w:div>
    <w:div w:id="477259982">
      <w:bodyDiv w:val="1"/>
      <w:marLeft w:val="0"/>
      <w:marRight w:val="0"/>
      <w:marTop w:val="0"/>
      <w:marBottom w:val="0"/>
      <w:divBdr>
        <w:top w:val="none" w:sz="0" w:space="0" w:color="auto"/>
        <w:left w:val="none" w:sz="0" w:space="0" w:color="auto"/>
        <w:bottom w:val="none" w:sz="0" w:space="0" w:color="auto"/>
        <w:right w:val="none" w:sz="0" w:space="0" w:color="auto"/>
      </w:divBdr>
    </w:div>
    <w:div w:id="667563999">
      <w:bodyDiv w:val="1"/>
      <w:marLeft w:val="0"/>
      <w:marRight w:val="0"/>
      <w:marTop w:val="0"/>
      <w:marBottom w:val="0"/>
      <w:divBdr>
        <w:top w:val="none" w:sz="0" w:space="0" w:color="auto"/>
        <w:left w:val="none" w:sz="0" w:space="0" w:color="auto"/>
        <w:bottom w:val="none" w:sz="0" w:space="0" w:color="auto"/>
        <w:right w:val="none" w:sz="0" w:space="0" w:color="auto"/>
      </w:divBdr>
    </w:div>
    <w:div w:id="1203130642">
      <w:bodyDiv w:val="1"/>
      <w:marLeft w:val="0"/>
      <w:marRight w:val="0"/>
      <w:marTop w:val="0"/>
      <w:marBottom w:val="0"/>
      <w:divBdr>
        <w:top w:val="none" w:sz="0" w:space="0" w:color="auto"/>
        <w:left w:val="none" w:sz="0" w:space="0" w:color="auto"/>
        <w:bottom w:val="none" w:sz="0" w:space="0" w:color="auto"/>
        <w:right w:val="none" w:sz="0" w:space="0" w:color="auto"/>
      </w:divBdr>
    </w:div>
    <w:div w:id="15856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side.collin.edu/businessoffice/pdfs/Collin%20College%20Business%20Procedures%20Manual%202024%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Jon H. Hardesty</cp:lastModifiedBy>
  <cp:revision>2</cp:revision>
  <cp:lastPrinted>2024-02-26T14:42:00Z</cp:lastPrinted>
  <dcterms:created xsi:type="dcterms:W3CDTF">2024-02-26T21:54:00Z</dcterms:created>
  <dcterms:modified xsi:type="dcterms:W3CDTF">2024-02-26T21:54:00Z</dcterms:modified>
</cp:coreProperties>
</file>