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9F524E"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117D7F">
        <w:rPr>
          <w:rFonts w:ascii="Arial" w:hAnsi="Arial" w:cs="Arial"/>
          <w:color w:val="000000"/>
          <w:sz w:val="22"/>
          <w:szCs w:val="22"/>
        </w:rPr>
        <w:t xml:space="preserve">LMGT </w:t>
      </w:r>
      <w:r w:rsidR="00095FCD">
        <w:rPr>
          <w:rFonts w:ascii="Arial" w:hAnsi="Arial" w:cs="Arial"/>
          <w:color w:val="000000"/>
          <w:sz w:val="22"/>
          <w:szCs w:val="22"/>
        </w:rPr>
        <w:t>1325</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095FCD">
        <w:rPr>
          <w:rFonts w:ascii="Arial" w:hAnsi="Arial" w:cs="Arial"/>
          <w:color w:val="000000"/>
          <w:sz w:val="22"/>
          <w:szCs w:val="22"/>
        </w:rPr>
        <w:t>Warehouse and Distribution Center Management</w:t>
      </w:r>
    </w:p>
    <w:p w:rsidR="00FB4914" w:rsidRPr="00095FCD"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00095FCD">
        <w:rPr>
          <w:rFonts w:ascii="Arial" w:hAnsi="Arial" w:cs="Arial"/>
          <w:b/>
          <w:color w:val="000000"/>
          <w:sz w:val="22"/>
          <w:szCs w:val="22"/>
        </w:rPr>
        <w:t xml:space="preserve"> </w:t>
      </w:r>
      <w:r w:rsidR="00095FCD">
        <w:rPr>
          <w:rFonts w:ascii="Arial" w:hAnsi="Arial" w:cs="Arial"/>
          <w:color w:val="000000"/>
          <w:sz w:val="22"/>
          <w:szCs w:val="22"/>
        </w:rPr>
        <w:t xml:space="preserve">Emphasis on physical distribution and total supply chain management. Includes warehouse operations management, hardware and software </w:t>
      </w:r>
      <w:bookmarkStart w:id="0" w:name="_GoBack"/>
      <w:bookmarkEnd w:id="0"/>
      <w:r w:rsidR="00095FCD">
        <w:rPr>
          <w:rFonts w:ascii="Arial" w:hAnsi="Arial" w:cs="Arial"/>
          <w:color w:val="000000"/>
          <w:sz w:val="22"/>
          <w:szCs w:val="22"/>
        </w:rPr>
        <w:t xml:space="preserve">operations, bar codes, organizational effectiveness, just-in-time, and continuous replenishment. </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9F524E"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806B34">
        <w:rPr>
          <w:rFonts w:ascii="Arial" w:hAnsi="Arial" w:cs="Arial"/>
          <w:sz w:val="22"/>
          <w:szCs w:val="22"/>
        </w:rPr>
        <w:t>Lecture Hours:</w:t>
      </w:r>
      <w:r w:rsidR="0054071A" w:rsidRPr="00806B34">
        <w:rPr>
          <w:rFonts w:ascii="Arial" w:hAnsi="Arial" w:cs="Arial"/>
          <w:sz w:val="22"/>
          <w:szCs w:val="22"/>
        </w:rPr>
        <w:tab/>
      </w:r>
      <w:r w:rsidR="00D261D0">
        <w:rPr>
          <w:rFonts w:ascii="Arial" w:hAnsi="Arial" w:cs="Arial"/>
          <w:sz w:val="22"/>
          <w:szCs w:val="22"/>
        </w:rPr>
        <w:t>3</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806B34" w:rsidRDefault="00A401FA" w:rsidP="00D261D0">
      <w:pPr>
        <w:numPr>
          <w:ilvl w:val="0"/>
          <w:numId w:val="5"/>
        </w:numPr>
        <w:tabs>
          <w:tab w:val="left" w:pos="720"/>
        </w:tabs>
        <w:spacing w:before="0" w:beforeAutospacing="0" w:after="0" w:afterAutospacing="0"/>
        <w:ind w:left="1080" w:hanging="540"/>
        <w:contextualSpacing/>
        <w:rPr>
          <w:rFonts w:ascii="Arial" w:hAnsi="Arial" w:cs="Arial"/>
          <w:sz w:val="22"/>
          <w:szCs w:val="22"/>
        </w:rPr>
      </w:pPr>
      <w:r w:rsidRPr="00862791">
        <w:rPr>
          <w:rFonts w:ascii="Arial" w:hAnsi="Arial" w:cs="Arial"/>
          <w:b/>
          <w:sz w:val="22"/>
          <w:szCs w:val="22"/>
        </w:rPr>
        <w:t>State</w:t>
      </w:r>
      <w:r w:rsidR="009F524E" w:rsidRPr="00862791">
        <w:rPr>
          <w:rFonts w:ascii="Arial" w:hAnsi="Arial" w:cs="Arial"/>
          <w:b/>
          <w:sz w:val="22"/>
          <w:szCs w:val="22"/>
        </w:rPr>
        <w:t>-m</w:t>
      </w:r>
      <w:r w:rsidRPr="00862791">
        <w:rPr>
          <w:rFonts w:ascii="Arial" w:hAnsi="Arial" w:cs="Arial"/>
          <w:b/>
          <w:sz w:val="22"/>
          <w:szCs w:val="22"/>
        </w:rPr>
        <w:t>andated Outcomes</w:t>
      </w:r>
      <w:r w:rsidRPr="00806B34">
        <w:rPr>
          <w:rFonts w:ascii="Arial" w:hAnsi="Arial" w:cs="Arial"/>
          <w:b/>
          <w:sz w:val="22"/>
          <w:szCs w:val="22"/>
        </w:rPr>
        <w:t>:</w:t>
      </w:r>
      <w:r w:rsidRPr="00806B34">
        <w:rPr>
          <w:rFonts w:ascii="Arial" w:hAnsi="Arial" w:cs="Arial"/>
          <w:sz w:val="22"/>
          <w:szCs w:val="22"/>
        </w:rPr>
        <w:t xml:space="preserve"> Upon successful completion of this course, students will:</w:t>
      </w:r>
    </w:p>
    <w:p w:rsidR="00170708" w:rsidRDefault="00095FCD"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Discuss total supply chain management and its function in the physical distribution system</w:t>
      </w:r>
      <w:r w:rsidR="00170708">
        <w:rPr>
          <w:rFonts w:ascii="Arial" w:hAnsi="Arial" w:cs="Arial"/>
          <w:sz w:val="22"/>
          <w:szCs w:val="22"/>
        </w:rPr>
        <w:t>.</w:t>
      </w:r>
    </w:p>
    <w:p w:rsidR="00095FCD" w:rsidRDefault="00095FCD"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Identify and demonstrate current technology utilized in warehouse management operations.</w:t>
      </w:r>
    </w:p>
    <w:p w:rsidR="00095FCD" w:rsidRDefault="00095FCD"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Apply the technology utilized in organizational effectiveness including time and money management and acquisition procession.</w:t>
      </w:r>
    </w:p>
    <w:p w:rsidR="00095FCD" w:rsidRDefault="00095FCD"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 xml:space="preserve">Interpret information with relationship to inventory management. </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96" w:rsidRDefault="00255496" w:rsidP="007F20E3">
      <w:pPr>
        <w:spacing w:before="0" w:after="0"/>
      </w:pPr>
      <w:r>
        <w:separator/>
      </w:r>
    </w:p>
  </w:endnote>
  <w:endnote w:type="continuationSeparator" w:id="0">
    <w:p w:rsidR="00255496" w:rsidRDefault="0025549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D261D0">
      <w:rPr>
        <w:rFonts w:ascii="Arial" w:hAnsi="Arial" w:cs="Arial"/>
        <w:sz w:val="16"/>
        <w:szCs w:val="16"/>
      </w:rPr>
      <w:t>Fall</w:t>
    </w:r>
    <w:r>
      <w:rPr>
        <w:rFonts w:ascii="Arial" w:hAnsi="Arial" w:cs="Arial"/>
        <w:sz w:val="16"/>
        <w:szCs w:val="16"/>
      </w:rPr>
      <w:t xml:space="preserve">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96" w:rsidRDefault="00255496" w:rsidP="007F20E3">
      <w:pPr>
        <w:spacing w:before="0" w:after="0"/>
      </w:pPr>
      <w:r>
        <w:separator/>
      </w:r>
    </w:p>
  </w:footnote>
  <w:footnote w:type="continuationSeparator" w:id="0">
    <w:p w:rsidR="00255496" w:rsidRDefault="00255496"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QwNjc2MbEwNLNQ0lEKTi0uzszPAykwrAUAqe56vCwAAAA="/>
  </w:docVars>
  <w:rsids>
    <w:rsidRoot w:val="00A21CC7"/>
    <w:rsid w:val="00093948"/>
    <w:rsid w:val="00095FCD"/>
    <w:rsid w:val="000E2DCC"/>
    <w:rsid w:val="00117D7F"/>
    <w:rsid w:val="00125D81"/>
    <w:rsid w:val="001479F7"/>
    <w:rsid w:val="001543AD"/>
    <w:rsid w:val="00170708"/>
    <w:rsid w:val="00170C72"/>
    <w:rsid w:val="00180AB1"/>
    <w:rsid w:val="001A3049"/>
    <w:rsid w:val="001B2DD1"/>
    <w:rsid w:val="00215C2C"/>
    <w:rsid w:val="00255496"/>
    <w:rsid w:val="00274801"/>
    <w:rsid w:val="0029015B"/>
    <w:rsid w:val="00293892"/>
    <w:rsid w:val="002950BB"/>
    <w:rsid w:val="002B77F4"/>
    <w:rsid w:val="002D63EE"/>
    <w:rsid w:val="003527E0"/>
    <w:rsid w:val="00367E11"/>
    <w:rsid w:val="003827F7"/>
    <w:rsid w:val="00390B40"/>
    <w:rsid w:val="003937CD"/>
    <w:rsid w:val="003B79DF"/>
    <w:rsid w:val="003E0237"/>
    <w:rsid w:val="003E3E6B"/>
    <w:rsid w:val="00427446"/>
    <w:rsid w:val="004367B7"/>
    <w:rsid w:val="00474BF7"/>
    <w:rsid w:val="00495DA1"/>
    <w:rsid w:val="004B2B47"/>
    <w:rsid w:val="004B4605"/>
    <w:rsid w:val="004E5472"/>
    <w:rsid w:val="00516860"/>
    <w:rsid w:val="0054071A"/>
    <w:rsid w:val="00541518"/>
    <w:rsid w:val="00575037"/>
    <w:rsid w:val="0059292D"/>
    <w:rsid w:val="005E39FC"/>
    <w:rsid w:val="005F56E1"/>
    <w:rsid w:val="0062414A"/>
    <w:rsid w:val="00647158"/>
    <w:rsid w:val="00675651"/>
    <w:rsid w:val="00691CC5"/>
    <w:rsid w:val="006B45D0"/>
    <w:rsid w:val="007932E2"/>
    <w:rsid w:val="007B6766"/>
    <w:rsid w:val="007D5C2F"/>
    <w:rsid w:val="007F20E3"/>
    <w:rsid w:val="00803407"/>
    <w:rsid w:val="00806B34"/>
    <w:rsid w:val="00827C3F"/>
    <w:rsid w:val="00847189"/>
    <w:rsid w:val="00862791"/>
    <w:rsid w:val="00866FAB"/>
    <w:rsid w:val="008A2602"/>
    <w:rsid w:val="008F237E"/>
    <w:rsid w:val="009065C7"/>
    <w:rsid w:val="00986AD7"/>
    <w:rsid w:val="009A64AD"/>
    <w:rsid w:val="009D3F9A"/>
    <w:rsid w:val="009E20A0"/>
    <w:rsid w:val="009F524E"/>
    <w:rsid w:val="00A168BA"/>
    <w:rsid w:val="00A27580"/>
    <w:rsid w:val="00A35065"/>
    <w:rsid w:val="00A401FA"/>
    <w:rsid w:val="00B662DB"/>
    <w:rsid w:val="00B739CC"/>
    <w:rsid w:val="00BC59F0"/>
    <w:rsid w:val="00C25323"/>
    <w:rsid w:val="00C57C25"/>
    <w:rsid w:val="00C7070F"/>
    <w:rsid w:val="00CA17A4"/>
    <w:rsid w:val="00CB321C"/>
    <w:rsid w:val="00D1630E"/>
    <w:rsid w:val="00D22A4E"/>
    <w:rsid w:val="00D261D0"/>
    <w:rsid w:val="00D7111A"/>
    <w:rsid w:val="00DF67B9"/>
    <w:rsid w:val="00E13408"/>
    <w:rsid w:val="00E35F9A"/>
    <w:rsid w:val="00E76AFC"/>
    <w:rsid w:val="00E922E4"/>
    <w:rsid w:val="00F007EA"/>
    <w:rsid w:val="00F20BA6"/>
    <w:rsid w:val="00F460A1"/>
    <w:rsid w:val="00F5611A"/>
    <w:rsid w:val="00F833D9"/>
    <w:rsid w:val="00FA111B"/>
    <w:rsid w:val="00FB4914"/>
    <w:rsid w:val="00FB7179"/>
    <w:rsid w:val="00FF14BA"/>
    <w:rsid w:val="00FF27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62EAC601-94B0-496B-A913-42A5B81D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1536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2017-01-20T15:53:00Z</dcterms:created>
  <dcterms:modified xsi:type="dcterms:W3CDTF">2017-01-20T15:53:00Z</dcterms:modified>
</cp:coreProperties>
</file>