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970" w:rsidRDefault="00254970" w:rsidP="00254970">
      <w:pPr>
        <w:jc w:val="center"/>
        <w:outlineLvl w:val="0"/>
        <w:rPr>
          <w:rFonts w:cs="Arial"/>
          <w:b/>
          <w:bCs/>
          <w:sz w:val="20"/>
          <w:szCs w:val="20"/>
        </w:rPr>
      </w:pPr>
      <w:r>
        <w:rPr>
          <w:rFonts w:cs="Arial"/>
          <w:b/>
          <w:bCs/>
          <w:sz w:val="20"/>
          <w:szCs w:val="20"/>
        </w:rPr>
        <w:t>COLLIN COLLEGE</w:t>
      </w:r>
    </w:p>
    <w:p w:rsidR="00254970" w:rsidRDefault="00254970" w:rsidP="00254970">
      <w:pPr>
        <w:pStyle w:val="Default"/>
        <w:jc w:val="center"/>
        <w:rPr>
          <w:b/>
          <w:sz w:val="20"/>
          <w:szCs w:val="20"/>
        </w:rPr>
      </w:pPr>
    </w:p>
    <w:p w:rsidR="00254970" w:rsidRDefault="00254970" w:rsidP="00254970">
      <w:pPr>
        <w:pStyle w:val="Default"/>
        <w:jc w:val="center"/>
        <w:outlineLvl w:val="0"/>
        <w:rPr>
          <w:b/>
          <w:sz w:val="20"/>
          <w:szCs w:val="20"/>
        </w:rPr>
      </w:pPr>
      <w:r>
        <w:rPr>
          <w:b/>
          <w:sz w:val="20"/>
          <w:szCs w:val="20"/>
        </w:rPr>
        <w:t>COURSE SYLLABUS</w:t>
      </w:r>
    </w:p>
    <w:p w:rsidR="00254970" w:rsidRDefault="00254970" w:rsidP="00254970">
      <w:pPr>
        <w:pStyle w:val="Default"/>
        <w:jc w:val="center"/>
        <w:rPr>
          <w:b/>
          <w:color w:val="auto"/>
          <w:sz w:val="20"/>
          <w:szCs w:val="20"/>
        </w:rPr>
      </w:pPr>
    </w:p>
    <w:p w:rsidR="00254970" w:rsidRDefault="00254970" w:rsidP="00254970">
      <w:pPr>
        <w:pStyle w:val="Default"/>
        <w:jc w:val="center"/>
        <w:rPr>
          <w:b/>
          <w:color w:val="auto"/>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91440</wp:posOffset>
                </wp:positionV>
                <wp:extent cx="1676400" cy="266700"/>
                <wp:effectExtent l="9525" t="5715" r="952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254970" w:rsidRDefault="00254970" w:rsidP="00254970">
                            <w:pPr>
                              <w:rPr>
                                <w:rFonts w:cs="Arial"/>
                                <w:color w:val="000000"/>
                              </w:rPr>
                            </w:pPr>
                            <w:r>
                              <w:rPr>
                                <w:rFonts w:cs="Arial"/>
                                <w:color w:val="000000"/>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25pt;margin-top:7.2pt;width:132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">
                <v:textbox>
                  <w:txbxContent>
                    <w:p w:rsidR="00254970" w:rsidRDefault="00254970" w:rsidP="00254970">
                      <w:pPr>
                        <w:rPr>
                          <w:rFonts w:cs="Arial"/>
                          <w:color w:val="000000"/>
                        </w:rPr>
                      </w:pPr>
                      <w:r>
                        <w:rPr>
                          <w:rFonts w:cs="Arial"/>
                          <w:color w:val="000000"/>
                        </w:rPr>
                        <w:t>Course Information</w:t>
                      </w:r>
                    </w:p>
                  </w:txbxContent>
                </v:textbox>
              </v:shape>
            </w:pict>
          </mc:Fallback>
        </mc:AlternateContent>
      </w:r>
    </w:p>
    <w:p w:rsidR="00254970" w:rsidRDefault="00254970" w:rsidP="00254970">
      <w:pPr>
        <w:pStyle w:val="Default"/>
        <w:jc w:val="center"/>
        <w:rPr>
          <w:color w:val="auto"/>
          <w:sz w:val="20"/>
          <w:szCs w:val="20"/>
        </w:rPr>
      </w:pPr>
      <w:r>
        <w:rPr>
          <w:color w:val="auto"/>
          <w:sz w:val="20"/>
          <w:szCs w:val="20"/>
        </w:rPr>
        <w:t xml:space="preserve"> </w:t>
      </w:r>
    </w:p>
    <w:p w:rsidR="00254970" w:rsidRDefault="00254970" w:rsidP="00254970">
      <w:pPr>
        <w:rPr>
          <w:rFonts w:cs="Arial"/>
          <w:b/>
          <w:sz w:val="20"/>
          <w:szCs w:val="20"/>
        </w:rPr>
      </w:pPr>
    </w:p>
    <w:p w:rsidR="00254970" w:rsidRDefault="00254970" w:rsidP="00254970">
      <w:pPr>
        <w:rPr>
          <w:rFonts w:cs="Arial"/>
          <w:b/>
          <w:sz w:val="20"/>
          <w:szCs w:val="20"/>
        </w:rPr>
      </w:pPr>
    </w:p>
    <w:p w:rsidR="00254970" w:rsidRDefault="00254970" w:rsidP="00254970">
      <w:pPr>
        <w:outlineLvl w:val="0"/>
        <w:rPr>
          <w:rFonts w:cs="Arial"/>
          <w:sz w:val="20"/>
          <w:szCs w:val="20"/>
        </w:rPr>
      </w:pPr>
      <w:r>
        <w:rPr>
          <w:rFonts w:cs="Arial"/>
          <w:b/>
          <w:sz w:val="20"/>
          <w:szCs w:val="20"/>
        </w:rPr>
        <w:t>Course Number</w:t>
      </w:r>
      <w:r>
        <w:rPr>
          <w:rFonts w:cs="Arial"/>
          <w:sz w:val="20"/>
          <w:szCs w:val="20"/>
        </w:rPr>
        <w:t xml:space="preserve">:  </w:t>
      </w:r>
      <w:r>
        <w:rPr>
          <w:rFonts w:cs="Arial"/>
          <w:iCs/>
          <w:sz w:val="20"/>
          <w:szCs w:val="20"/>
        </w:rPr>
        <w:t>DFTG 2373</w:t>
      </w:r>
    </w:p>
    <w:p w:rsidR="00254970" w:rsidRDefault="00254970" w:rsidP="00254970">
      <w:pPr>
        <w:pStyle w:val="Default"/>
        <w:rPr>
          <w:color w:val="auto"/>
          <w:sz w:val="20"/>
          <w:szCs w:val="20"/>
        </w:rPr>
      </w:pPr>
      <w:r>
        <w:rPr>
          <w:iCs/>
          <w:color w:val="auto"/>
          <w:sz w:val="20"/>
          <w:szCs w:val="20"/>
        </w:rPr>
        <w:t xml:space="preserve"> </w:t>
      </w:r>
    </w:p>
    <w:p w:rsidR="00254970" w:rsidRDefault="00254970" w:rsidP="00254970">
      <w:pPr>
        <w:pStyle w:val="Default"/>
        <w:outlineLvl w:val="0"/>
        <w:rPr>
          <w:color w:val="auto"/>
          <w:sz w:val="20"/>
          <w:szCs w:val="20"/>
        </w:rPr>
      </w:pPr>
      <w:r>
        <w:rPr>
          <w:b/>
          <w:color w:val="auto"/>
          <w:sz w:val="20"/>
          <w:szCs w:val="20"/>
        </w:rPr>
        <w:t>Course Title:</w:t>
      </w:r>
      <w:r>
        <w:rPr>
          <w:color w:val="auto"/>
          <w:sz w:val="20"/>
          <w:szCs w:val="20"/>
        </w:rPr>
        <w:t xml:space="preserve">  </w:t>
      </w:r>
      <w:r>
        <w:rPr>
          <w:sz w:val="20"/>
          <w:szCs w:val="20"/>
        </w:rPr>
        <w:t xml:space="preserve">Advanced </w:t>
      </w:r>
      <w:r w:rsidR="00591BDF">
        <w:rPr>
          <w:sz w:val="20"/>
          <w:szCs w:val="20"/>
        </w:rPr>
        <w:t>SOLIDWORKS</w:t>
      </w:r>
    </w:p>
    <w:p w:rsidR="00254970" w:rsidRDefault="00254970" w:rsidP="00254970">
      <w:pPr>
        <w:pStyle w:val="Default"/>
        <w:rPr>
          <w:color w:val="auto"/>
          <w:sz w:val="20"/>
          <w:szCs w:val="20"/>
        </w:rPr>
      </w:pPr>
      <w:r>
        <w:rPr>
          <w:color w:val="auto"/>
          <w:sz w:val="20"/>
          <w:szCs w:val="20"/>
        </w:rPr>
        <w:t xml:space="preserve"> </w:t>
      </w:r>
    </w:p>
    <w:p w:rsidR="00254970" w:rsidRPr="001C2E5D" w:rsidRDefault="00254970" w:rsidP="001C2E5D">
      <w:pPr>
        <w:widowControl/>
        <w:ind w:left="360" w:hanging="360"/>
        <w:rPr>
          <w:rFonts w:cs="Arial"/>
          <w:sz w:val="20"/>
          <w:szCs w:val="20"/>
        </w:rPr>
      </w:pPr>
      <w:r>
        <w:rPr>
          <w:rFonts w:cs="Arial"/>
          <w:b/>
          <w:sz w:val="20"/>
          <w:szCs w:val="20"/>
        </w:rPr>
        <w:t>Course Description:</w:t>
      </w:r>
      <w:r>
        <w:rPr>
          <w:rFonts w:cs="Arial"/>
          <w:sz w:val="20"/>
          <w:szCs w:val="20"/>
        </w:rPr>
        <w:t xml:space="preserve"> </w:t>
      </w:r>
      <w:r w:rsidR="001C2E5D">
        <w:rPr>
          <w:rFonts w:cs="Arial"/>
          <w:sz w:val="20"/>
          <w:szCs w:val="20"/>
        </w:rPr>
        <w:t xml:space="preserve"> </w:t>
      </w:r>
      <w:bookmarkStart w:id="0" w:name="_GoBack"/>
      <w:bookmarkEnd w:id="0"/>
      <w:r w:rsidRPr="0043764B">
        <w:rPr>
          <w:sz w:val="20"/>
          <w:szCs w:val="20"/>
        </w:rPr>
        <w:t>Study of advanced topics in SOLIDWORKS mechanical drafting and design. The course teaches how to build assemblies, to create professional drawing, and to use various SOLIDWORKS tools to manage information to facilitate the design process.</w:t>
      </w:r>
    </w:p>
    <w:p w:rsidR="00254970" w:rsidRDefault="00254970" w:rsidP="00254970">
      <w:pPr>
        <w:pStyle w:val="Default"/>
        <w:rPr>
          <w:sz w:val="20"/>
          <w:szCs w:val="20"/>
        </w:rPr>
      </w:pPr>
    </w:p>
    <w:p w:rsidR="00254970" w:rsidRDefault="00254970" w:rsidP="00254970">
      <w:pPr>
        <w:pStyle w:val="Default"/>
        <w:tabs>
          <w:tab w:val="left" w:pos="2340"/>
        </w:tabs>
        <w:outlineLvl w:val="0"/>
        <w:rPr>
          <w:b/>
          <w:color w:val="auto"/>
          <w:sz w:val="20"/>
          <w:szCs w:val="20"/>
        </w:rPr>
      </w:pPr>
      <w:r>
        <w:rPr>
          <w:b/>
          <w:color w:val="auto"/>
          <w:sz w:val="20"/>
          <w:szCs w:val="20"/>
        </w:rPr>
        <w:t>Course Credit Hours:</w:t>
      </w:r>
      <w:r>
        <w:rPr>
          <w:b/>
          <w:color w:val="auto"/>
          <w:sz w:val="20"/>
          <w:szCs w:val="20"/>
        </w:rPr>
        <w:tab/>
      </w:r>
      <w:r>
        <w:rPr>
          <w:color w:val="auto"/>
          <w:sz w:val="20"/>
          <w:szCs w:val="20"/>
        </w:rPr>
        <w:t>3</w:t>
      </w:r>
    </w:p>
    <w:p w:rsidR="00254970" w:rsidRDefault="00254970" w:rsidP="00254970">
      <w:pPr>
        <w:pStyle w:val="Default"/>
        <w:tabs>
          <w:tab w:val="left" w:pos="720"/>
          <w:tab w:val="left" w:pos="2340"/>
        </w:tabs>
        <w:rPr>
          <w:color w:val="auto"/>
          <w:sz w:val="20"/>
          <w:szCs w:val="20"/>
        </w:rPr>
      </w:pPr>
      <w:r>
        <w:rPr>
          <w:b/>
          <w:color w:val="auto"/>
          <w:sz w:val="20"/>
          <w:szCs w:val="20"/>
        </w:rPr>
        <w:tab/>
      </w:r>
      <w:r>
        <w:rPr>
          <w:color w:val="auto"/>
          <w:sz w:val="20"/>
          <w:szCs w:val="20"/>
        </w:rPr>
        <w:t>Lecture Hours:</w:t>
      </w:r>
      <w:r>
        <w:rPr>
          <w:iCs/>
          <w:color w:val="auto"/>
          <w:sz w:val="20"/>
          <w:szCs w:val="20"/>
        </w:rPr>
        <w:tab/>
        <w:t>2</w:t>
      </w:r>
    </w:p>
    <w:p w:rsidR="00254970" w:rsidRDefault="00254970" w:rsidP="00254970">
      <w:pPr>
        <w:pStyle w:val="Default"/>
        <w:tabs>
          <w:tab w:val="left" w:pos="720"/>
          <w:tab w:val="left" w:pos="2340"/>
        </w:tabs>
        <w:rPr>
          <w:color w:val="auto"/>
          <w:sz w:val="20"/>
          <w:szCs w:val="20"/>
        </w:rPr>
      </w:pPr>
      <w:r>
        <w:rPr>
          <w:color w:val="auto"/>
          <w:sz w:val="20"/>
          <w:szCs w:val="20"/>
        </w:rPr>
        <w:tab/>
        <w:t xml:space="preserve">      Lab Hours:</w:t>
      </w:r>
      <w:r>
        <w:rPr>
          <w:color w:val="auto"/>
          <w:sz w:val="20"/>
          <w:szCs w:val="20"/>
        </w:rPr>
        <w:tab/>
        <w:t>2</w:t>
      </w:r>
    </w:p>
    <w:p w:rsidR="00147794" w:rsidRDefault="00147794" w:rsidP="00254970">
      <w:pPr>
        <w:pStyle w:val="Default"/>
        <w:tabs>
          <w:tab w:val="left" w:pos="720"/>
          <w:tab w:val="left" w:pos="2340"/>
        </w:tabs>
        <w:rPr>
          <w:color w:val="auto"/>
          <w:sz w:val="20"/>
          <w:szCs w:val="20"/>
        </w:rPr>
      </w:pPr>
    </w:p>
    <w:p w:rsidR="00147794" w:rsidRPr="006C2D05" w:rsidRDefault="00147794" w:rsidP="00254970">
      <w:pPr>
        <w:pStyle w:val="Default"/>
        <w:tabs>
          <w:tab w:val="left" w:pos="720"/>
          <w:tab w:val="left" w:pos="2340"/>
        </w:tabs>
        <w:rPr>
          <w:color w:val="auto"/>
          <w:sz w:val="20"/>
          <w:szCs w:val="20"/>
        </w:rPr>
      </w:pPr>
      <w:r w:rsidRPr="006C2D05">
        <w:rPr>
          <w:b/>
          <w:color w:val="auto"/>
          <w:sz w:val="20"/>
          <w:szCs w:val="20"/>
        </w:rPr>
        <w:t xml:space="preserve">Prerequisite:  </w:t>
      </w:r>
      <w:r w:rsidRPr="006C2D05">
        <w:rPr>
          <w:color w:val="auto"/>
          <w:sz w:val="20"/>
          <w:szCs w:val="20"/>
        </w:rPr>
        <w:t>DFTG 1372</w:t>
      </w:r>
    </w:p>
    <w:p w:rsidR="00254970" w:rsidRDefault="00254970" w:rsidP="00254970">
      <w:pPr>
        <w:ind w:left="720" w:hanging="720"/>
        <w:rPr>
          <w:rFonts w:cs="Arial"/>
          <w:sz w:val="20"/>
          <w:szCs w:val="20"/>
        </w:rPr>
      </w:pPr>
      <w:r>
        <w:rPr>
          <w:rFonts w:cs="Arial"/>
          <w:sz w:val="20"/>
          <w:szCs w:val="20"/>
        </w:rPr>
        <w:t xml:space="preserve"> </w:t>
      </w:r>
    </w:p>
    <w:p w:rsidR="00254970" w:rsidRDefault="00254970" w:rsidP="00254970">
      <w:pPr>
        <w:ind w:left="360" w:hanging="360"/>
        <w:rPr>
          <w:rFonts w:eastAsia="Calibri" w:cs="Arial"/>
          <w:b/>
          <w:bCs/>
          <w:sz w:val="20"/>
          <w:szCs w:val="20"/>
        </w:rPr>
      </w:pPr>
      <w:r>
        <w:rPr>
          <w:rFonts w:cs="Arial"/>
          <w:b/>
          <w:sz w:val="20"/>
          <w:szCs w:val="20"/>
        </w:rPr>
        <w:t>Student Learning Outcomes:</w:t>
      </w:r>
      <w:r>
        <w:rPr>
          <w:rFonts w:cs="Arial"/>
          <w:sz w:val="20"/>
          <w:szCs w:val="20"/>
        </w:rPr>
        <w:t xml:space="preserve">  </w:t>
      </w:r>
      <w:r>
        <w:rPr>
          <w:rFonts w:eastAsia="Calibri" w:cs="Arial"/>
          <w:color w:val="000000"/>
          <w:sz w:val="20"/>
          <w:szCs w:val="20"/>
        </w:rPr>
        <w:t>Upon successful completion of this course, students will be able to do the following:</w:t>
      </w:r>
    </w:p>
    <w:p w:rsidR="00254970" w:rsidRPr="0043764B" w:rsidRDefault="00254970" w:rsidP="00254970">
      <w:pPr>
        <w:pStyle w:val="Default"/>
        <w:numPr>
          <w:ilvl w:val="0"/>
          <w:numId w:val="1"/>
        </w:numPr>
        <w:rPr>
          <w:color w:val="auto"/>
          <w:sz w:val="20"/>
          <w:szCs w:val="20"/>
        </w:rPr>
      </w:pPr>
      <w:r w:rsidRPr="0043764B">
        <w:rPr>
          <w:rFonts w:eastAsia="Calibri"/>
          <w:color w:val="auto"/>
          <w:sz w:val="20"/>
          <w:szCs w:val="20"/>
        </w:rPr>
        <w:t>Assemble parts by using different strategies</w:t>
      </w:r>
      <w:r w:rsidRPr="0043764B">
        <w:rPr>
          <w:color w:val="auto"/>
          <w:sz w:val="20"/>
          <w:szCs w:val="20"/>
        </w:rPr>
        <w:t>.</w:t>
      </w:r>
      <w:r w:rsidRPr="0043764B">
        <w:rPr>
          <w:rFonts w:eastAsia="Calibri"/>
          <w:color w:val="auto"/>
          <w:sz w:val="20"/>
          <w:szCs w:val="20"/>
        </w:rPr>
        <w:t xml:space="preserve"> </w:t>
      </w:r>
      <w:r w:rsidRPr="0043764B">
        <w:rPr>
          <w:rFonts w:eastAsia="Calibri"/>
          <w:bCs/>
          <w:iCs/>
          <w:color w:val="auto"/>
          <w:sz w:val="20"/>
          <w:szCs w:val="20"/>
        </w:rPr>
        <w:t>(</w:t>
      </w:r>
      <w:r w:rsidRPr="0043764B">
        <w:rPr>
          <w:color w:val="auto"/>
          <w:sz w:val="20"/>
          <w:szCs w:val="20"/>
        </w:rPr>
        <w:t xml:space="preserve">SCANS: </w:t>
      </w:r>
      <w:r w:rsidRPr="0043764B">
        <w:rPr>
          <w:rFonts w:eastAsia="Calibri"/>
          <w:bCs/>
          <w:iCs/>
          <w:color w:val="auto"/>
          <w:sz w:val="20"/>
          <w:szCs w:val="20"/>
        </w:rPr>
        <w:t>F1,F3-5,F8-12,F14,F16</w:t>
      </w:r>
      <w:r w:rsidR="00963E13">
        <w:rPr>
          <w:rFonts w:eastAsia="Calibri"/>
          <w:bCs/>
          <w:iCs/>
          <w:color w:val="auto"/>
          <w:sz w:val="20"/>
          <w:szCs w:val="20"/>
        </w:rPr>
        <w:t>,</w:t>
      </w:r>
      <w:r w:rsidRPr="0043764B">
        <w:rPr>
          <w:rFonts w:eastAsia="Calibri"/>
          <w:bCs/>
          <w:iCs/>
          <w:color w:val="auto"/>
          <w:sz w:val="20"/>
          <w:szCs w:val="20"/>
        </w:rPr>
        <w:t>C1,C10-16,C18-20)</w:t>
      </w:r>
    </w:p>
    <w:p w:rsidR="00254970" w:rsidRPr="0043764B" w:rsidRDefault="00254970" w:rsidP="00254970">
      <w:pPr>
        <w:pStyle w:val="Default"/>
        <w:numPr>
          <w:ilvl w:val="0"/>
          <w:numId w:val="1"/>
        </w:numPr>
        <w:rPr>
          <w:color w:val="auto"/>
          <w:sz w:val="20"/>
          <w:szCs w:val="20"/>
        </w:rPr>
      </w:pPr>
      <w:r w:rsidRPr="0043764B">
        <w:rPr>
          <w:color w:val="auto"/>
          <w:sz w:val="20"/>
          <w:szCs w:val="20"/>
        </w:rPr>
        <w:t xml:space="preserve">Create professional drawings and bill of materials (BOM). </w:t>
      </w:r>
      <w:r w:rsidRPr="0043764B">
        <w:rPr>
          <w:rFonts w:eastAsia="Calibri"/>
          <w:bCs/>
          <w:iCs/>
          <w:color w:val="auto"/>
          <w:sz w:val="20"/>
          <w:szCs w:val="20"/>
        </w:rPr>
        <w:t>(</w:t>
      </w:r>
      <w:r w:rsidRPr="0043764B">
        <w:rPr>
          <w:color w:val="auto"/>
          <w:sz w:val="20"/>
          <w:szCs w:val="20"/>
        </w:rPr>
        <w:t xml:space="preserve">SCANS: </w:t>
      </w:r>
      <w:r w:rsidRPr="0043764B">
        <w:rPr>
          <w:rFonts w:eastAsia="Calibri"/>
          <w:bCs/>
          <w:iCs/>
          <w:color w:val="auto"/>
          <w:sz w:val="20"/>
          <w:szCs w:val="20"/>
        </w:rPr>
        <w:t>F1,F3-5,F8-12,F14,F16</w:t>
      </w:r>
      <w:r w:rsidR="00963E13">
        <w:rPr>
          <w:rFonts w:eastAsia="Calibri"/>
          <w:bCs/>
          <w:iCs/>
          <w:color w:val="auto"/>
          <w:sz w:val="20"/>
          <w:szCs w:val="20"/>
        </w:rPr>
        <w:t>,</w:t>
      </w:r>
      <w:r w:rsidRPr="0043764B">
        <w:rPr>
          <w:rFonts w:eastAsia="Calibri"/>
          <w:bCs/>
          <w:iCs/>
          <w:color w:val="auto"/>
          <w:sz w:val="20"/>
          <w:szCs w:val="20"/>
        </w:rPr>
        <w:t>C1,C10-16,C18-20)</w:t>
      </w:r>
    </w:p>
    <w:p w:rsidR="00254970" w:rsidRPr="0043764B" w:rsidRDefault="00254970" w:rsidP="00254970">
      <w:pPr>
        <w:pStyle w:val="Default"/>
        <w:numPr>
          <w:ilvl w:val="0"/>
          <w:numId w:val="1"/>
        </w:numPr>
        <w:rPr>
          <w:color w:val="auto"/>
          <w:sz w:val="20"/>
          <w:szCs w:val="20"/>
        </w:rPr>
      </w:pPr>
      <w:r w:rsidRPr="0043764B">
        <w:rPr>
          <w:color w:val="auto"/>
          <w:sz w:val="20"/>
          <w:szCs w:val="20"/>
        </w:rPr>
        <w:t>Create and manage configurations.</w:t>
      </w:r>
      <w:r w:rsidRPr="0043764B">
        <w:rPr>
          <w:rFonts w:eastAsia="Calibri"/>
          <w:bCs/>
          <w:iCs/>
          <w:color w:val="auto"/>
          <w:sz w:val="20"/>
          <w:szCs w:val="20"/>
        </w:rPr>
        <w:t xml:space="preserve"> (</w:t>
      </w:r>
      <w:r w:rsidRPr="0043764B">
        <w:rPr>
          <w:color w:val="auto"/>
          <w:sz w:val="20"/>
          <w:szCs w:val="20"/>
        </w:rPr>
        <w:t xml:space="preserve">SCANS: </w:t>
      </w:r>
      <w:r w:rsidRPr="0043764B">
        <w:rPr>
          <w:rFonts w:eastAsia="Calibri"/>
          <w:bCs/>
          <w:iCs/>
          <w:color w:val="auto"/>
          <w:sz w:val="20"/>
          <w:szCs w:val="20"/>
        </w:rPr>
        <w:t>F1,F3-5,F8-12,F14,F16</w:t>
      </w:r>
      <w:r w:rsidR="00963E13">
        <w:rPr>
          <w:rFonts w:eastAsia="Calibri"/>
          <w:bCs/>
          <w:iCs/>
          <w:color w:val="auto"/>
          <w:sz w:val="20"/>
          <w:szCs w:val="20"/>
        </w:rPr>
        <w:t>,</w:t>
      </w:r>
      <w:r w:rsidRPr="0043764B">
        <w:rPr>
          <w:rFonts w:eastAsia="Calibri"/>
          <w:bCs/>
          <w:iCs/>
          <w:color w:val="auto"/>
          <w:sz w:val="20"/>
          <w:szCs w:val="20"/>
        </w:rPr>
        <w:t>C1,C10-16,C18-20)</w:t>
      </w:r>
    </w:p>
    <w:p w:rsidR="00254970" w:rsidRPr="0043764B" w:rsidRDefault="00254970" w:rsidP="00254970">
      <w:pPr>
        <w:pStyle w:val="Default"/>
        <w:numPr>
          <w:ilvl w:val="0"/>
          <w:numId w:val="1"/>
        </w:numPr>
        <w:rPr>
          <w:color w:val="auto"/>
          <w:sz w:val="20"/>
          <w:szCs w:val="20"/>
        </w:rPr>
      </w:pPr>
      <w:r w:rsidRPr="0043764B">
        <w:rPr>
          <w:rFonts w:eastAsia="Calibri"/>
          <w:bCs/>
          <w:iCs/>
          <w:color w:val="auto"/>
          <w:sz w:val="20"/>
          <w:szCs w:val="20"/>
        </w:rPr>
        <w:t xml:space="preserve">Use </w:t>
      </w:r>
      <w:r w:rsidRPr="00A315C1">
        <w:rPr>
          <w:rFonts w:eastAsia="Calibri"/>
          <w:bCs/>
          <w:iCs/>
          <w:color w:val="auto"/>
          <w:sz w:val="20"/>
          <w:szCs w:val="20"/>
        </w:rPr>
        <w:t>S</w:t>
      </w:r>
      <w:r w:rsidR="00591BDF">
        <w:rPr>
          <w:rFonts w:eastAsia="Calibri"/>
          <w:bCs/>
          <w:iCs/>
          <w:color w:val="auto"/>
          <w:sz w:val="20"/>
          <w:szCs w:val="20"/>
        </w:rPr>
        <w:t>OLIDWORKS</w:t>
      </w:r>
      <w:r w:rsidRPr="0043764B">
        <w:rPr>
          <w:rFonts w:eastAsia="Calibri"/>
          <w:bCs/>
          <w:iCs/>
          <w:color w:val="auto"/>
          <w:sz w:val="20"/>
          <w:szCs w:val="20"/>
        </w:rPr>
        <w:t xml:space="preserve"> Design Library to manage reusable items. (</w:t>
      </w:r>
      <w:r w:rsidRPr="0043764B">
        <w:rPr>
          <w:color w:val="auto"/>
          <w:sz w:val="20"/>
          <w:szCs w:val="20"/>
        </w:rPr>
        <w:t xml:space="preserve">SCANS: </w:t>
      </w:r>
      <w:r w:rsidRPr="0043764B">
        <w:rPr>
          <w:rFonts w:eastAsia="Calibri"/>
          <w:bCs/>
          <w:iCs/>
          <w:color w:val="auto"/>
          <w:sz w:val="20"/>
          <w:szCs w:val="20"/>
        </w:rPr>
        <w:t>F1,F3-5,F8-12,F14,F16</w:t>
      </w:r>
      <w:r w:rsidR="00963E13">
        <w:rPr>
          <w:rFonts w:eastAsia="Calibri"/>
          <w:bCs/>
          <w:iCs/>
          <w:color w:val="auto"/>
          <w:sz w:val="20"/>
          <w:szCs w:val="20"/>
        </w:rPr>
        <w:t>,</w:t>
      </w:r>
      <w:r w:rsidRPr="0043764B">
        <w:rPr>
          <w:rFonts w:eastAsia="Calibri"/>
          <w:bCs/>
          <w:iCs/>
          <w:color w:val="auto"/>
          <w:sz w:val="20"/>
          <w:szCs w:val="20"/>
        </w:rPr>
        <w:t>C1,C10-16,C18-20)</w:t>
      </w:r>
    </w:p>
    <w:p w:rsidR="00254970" w:rsidRDefault="00254970" w:rsidP="00254970">
      <w:pPr>
        <w:pStyle w:val="Default"/>
        <w:ind w:left="720"/>
        <w:rPr>
          <w:sz w:val="20"/>
          <w:szCs w:val="20"/>
        </w:rPr>
      </w:pPr>
    </w:p>
    <w:p w:rsidR="00254970" w:rsidRDefault="00254970" w:rsidP="00254970">
      <w:pPr>
        <w:widowControl/>
        <w:ind w:left="360" w:right="270" w:hanging="450"/>
        <w:rPr>
          <w:rFonts w:cs="Arial"/>
          <w:sz w:val="20"/>
          <w:szCs w:val="20"/>
        </w:rPr>
      </w:pPr>
      <w:r>
        <w:rPr>
          <w:rFonts w:cs="Arial"/>
          <w:b/>
          <w:color w:val="000000"/>
          <w:sz w:val="20"/>
          <w:szCs w:val="20"/>
        </w:rPr>
        <w:t>Secretary’s Commission on the Acquisition of Necessary Skills (SCANS) -</w:t>
      </w:r>
      <w:r>
        <w:rPr>
          <w:rFonts w:cs="Arial"/>
          <w:color w:val="000000"/>
          <w:sz w:val="20"/>
          <w:szCs w:val="20"/>
        </w:rPr>
        <w:t xml:space="preserve"> SCANS skills are a group of foundational skills and workplace competencies that the Secretary’s Commission on the Acquisition of Necessary Skills established as vitally important for workplace success in the 21</w:t>
      </w:r>
      <w:r>
        <w:rPr>
          <w:rFonts w:cs="Arial"/>
          <w:color w:val="000000"/>
          <w:sz w:val="20"/>
          <w:szCs w:val="20"/>
          <w:vertAlign w:val="superscript"/>
        </w:rPr>
        <w:t>st</w:t>
      </w:r>
      <w:r>
        <w:rPr>
          <w:rFonts w:cs="Arial"/>
          <w:color w:val="000000"/>
          <w:sz w:val="20"/>
          <w:szCs w:val="20"/>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5" w:history="1">
        <w:r>
          <w:rPr>
            <w:rStyle w:val="Hyperlink"/>
            <w:rFonts w:cs="Arial"/>
            <w:color w:val="auto"/>
            <w:sz w:val="20"/>
            <w:szCs w:val="20"/>
          </w:rPr>
          <w:t>http://www.collin.edu/academics/programs/Workforce_SCANS_Skills_Syllabi_Code_Key.pdf</w:t>
        </w:r>
      </w:hyperlink>
    </w:p>
    <w:p w:rsidR="00254970" w:rsidRDefault="00254970" w:rsidP="00254970">
      <w:pPr>
        <w:widowControl/>
        <w:ind w:right="-720"/>
        <w:rPr>
          <w:rFonts w:cs="Arial"/>
          <w:color w:val="000000"/>
          <w:sz w:val="20"/>
          <w:szCs w:val="20"/>
        </w:rPr>
      </w:pPr>
    </w:p>
    <w:p w:rsidR="00254970" w:rsidRDefault="00254970" w:rsidP="00254970">
      <w:pPr>
        <w:outlineLvl w:val="0"/>
        <w:rPr>
          <w:rFonts w:cs="Arial"/>
          <w:color w:val="000000"/>
          <w:sz w:val="20"/>
          <w:szCs w:val="20"/>
        </w:rPr>
      </w:pPr>
      <w:r>
        <w:rPr>
          <w:rFonts w:cs="Arial"/>
          <w:b/>
          <w:color w:val="000000"/>
          <w:sz w:val="20"/>
          <w:szCs w:val="20"/>
        </w:rPr>
        <w:t xml:space="preserve">Withdrawal Policy:  </w:t>
      </w:r>
      <w:r>
        <w:rPr>
          <w:rFonts w:cs="Arial"/>
          <w:color w:val="000000"/>
          <w:sz w:val="20"/>
          <w:szCs w:val="20"/>
        </w:rPr>
        <w:t xml:space="preserve">See the current </w:t>
      </w:r>
      <w:r>
        <w:rPr>
          <w:rFonts w:cs="Arial"/>
          <w:i/>
          <w:color w:val="000000"/>
          <w:sz w:val="20"/>
          <w:szCs w:val="20"/>
        </w:rPr>
        <w:t>Collin Registration Guide</w:t>
      </w:r>
      <w:r>
        <w:rPr>
          <w:rFonts w:cs="Arial"/>
          <w:color w:val="000000"/>
          <w:sz w:val="20"/>
          <w:szCs w:val="20"/>
        </w:rPr>
        <w:t xml:space="preserve"> for last day to withdraw.</w:t>
      </w:r>
    </w:p>
    <w:p w:rsidR="00254970" w:rsidRDefault="00254970" w:rsidP="00254970">
      <w:pPr>
        <w:rPr>
          <w:rFonts w:cs="Arial"/>
          <w:b/>
          <w:color w:val="000000"/>
          <w:sz w:val="20"/>
          <w:szCs w:val="20"/>
        </w:rPr>
      </w:pPr>
    </w:p>
    <w:p w:rsidR="00254970" w:rsidRDefault="00254970" w:rsidP="00254970">
      <w:pPr>
        <w:outlineLvl w:val="0"/>
        <w:rPr>
          <w:rFonts w:cs="Arial"/>
          <w:color w:val="000000"/>
          <w:sz w:val="20"/>
          <w:szCs w:val="20"/>
        </w:rPr>
      </w:pPr>
      <w:r>
        <w:rPr>
          <w:rFonts w:cs="Arial"/>
          <w:b/>
          <w:color w:val="000000"/>
          <w:sz w:val="20"/>
          <w:szCs w:val="20"/>
        </w:rPr>
        <w:t>Collin College Academic Policies:</w:t>
      </w:r>
      <w:r>
        <w:rPr>
          <w:rFonts w:cs="Arial"/>
          <w:color w:val="000000"/>
          <w:sz w:val="20"/>
          <w:szCs w:val="20"/>
        </w:rPr>
        <w:t xml:space="preserve">  See the current </w:t>
      </w:r>
      <w:r>
        <w:rPr>
          <w:rFonts w:cs="Arial"/>
          <w:i/>
          <w:color w:val="000000"/>
          <w:sz w:val="20"/>
          <w:szCs w:val="20"/>
        </w:rPr>
        <w:t>Collin Student Handbook.</w:t>
      </w:r>
    </w:p>
    <w:p w:rsidR="00254970" w:rsidRDefault="00254970" w:rsidP="00254970">
      <w:pPr>
        <w:ind w:left="450" w:hanging="450"/>
        <w:rPr>
          <w:rFonts w:cs="Arial"/>
          <w:b/>
          <w:color w:val="000000"/>
          <w:sz w:val="20"/>
          <w:szCs w:val="20"/>
        </w:rPr>
      </w:pPr>
    </w:p>
    <w:p w:rsidR="00254970" w:rsidRDefault="00254970" w:rsidP="00254970">
      <w:pPr>
        <w:ind w:left="360" w:hanging="360"/>
        <w:rPr>
          <w:rFonts w:cs="Arial"/>
          <w:color w:val="000000"/>
          <w:sz w:val="20"/>
          <w:szCs w:val="20"/>
        </w:rPr>
      </w:pPr>
      <w:r>
        <w:rPr>
          <w:rFonts w:cs="Arial"/>
          <w:b/>
          <w:color w:val="000000"/>
          <w:sz w:val="20"/>
          <w:szCs w:val="20"/>
        </w:rPr>
        <w:t>Americans with Disabilities Act Statement:</w:t>
      </w:r>
      <w:r>
        <w:rPr>
          <w:rFonts w:cs="Arial"/>
          <w:color w:val="000000"/>
          <w:sz w:val="20"/>
          <w:szCs w:val="20"/>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SCC-D140 or 972.881.5898 (V/TTD: 972.881.5950) to arrange for appropriate accommodations. See the current </w:t>
      </w:r>
      <w:r>
        <w:rPr>
          <w:rFonts w:cs="Arial"/>
          <w:i/>
          <w:color w:val="000000"/>
          <w:sz w:val="20"/>
          <w:szCs w:val="20"/>
        </w:rPr>
        <w:t>Collin Student Handbook</w:t>
      </w:r>
      <w:r>
        <w:rPr>
          <w:rFonts w:cs="Arial"/>
          <w:color w:val="000000"/>
          <w:sz w:val="20"/>
          <w:szCs w:val="20"/>
        </w:rPr>
        <w:t xml:space="preserve"> for additional information.</w:t>
      </w:r>
    </w:p>
    <w:p w:rsidR="00847E2A" w:rsidRDefault="00847E2A" w:rsidP="00254970">
      <w:pPr>
        <w:ind w:left="360" w:hanging="360"/>
        <w:rPr>
          <w:rFonts w:cs="Arial"/>
          <w:color w:val="000000"/>
          <w:sz w:val="20"/>
          <w:szCs w:val="20"/>
        </w:rPr>
      </w:pPr>
    </w:p>
    <w:p w:rsidR="00847E2A" w:rsidRDefault="00847E2A" w:rsidP="00254970">
      <w:pPr>
        <w:ind w:left="360" w:hanging="360"/>
        <w:rPr>
          <w:rFonts w:cs="Arial"/>
          <w:color w:val="000000"/>
          <w:sz w:val="20"/>
          <w:szCs w:val="20"/>
        </w:rPr>
      </w:pPr>
    </w:p>
    <w:p w:rsidR="00724D8F" w:rsidRPr="00724D8F" w:rsidRDefault="00724D8F" w:rsidP="00724D8F">
      <w:pPr>
        <w:jc w:val="right"/>
        <w:rPr>
          <w:i/>
          <w:sz w:val="18"/>
          <w:szCs w:val="18"/>
        </w:rPr>
      </w:pPr>
      <w:r>
        <w:rPr>
          <w:i/>
          <w:sz w:val="18"/>
          <w:szCs w:val="18"/>
        </w:rPr>
        <w:t>Fall 2017 New</w:t>
      </w:r>
    </w:p>
    <w:sectPr w:rsidR="00724D8F" w:rsidRPr="00724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A7367"/>
    <w:multiLevelType w:val="hybridMultilevel"/>
    <w:tmpl w:val="540A53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AwMDO2tDQxMDWyMDZR0lEKTi0uzszPAykwrAUAv1VMUiwAAAA="/>
  </w:docVars>
  <w:rsids>
    <w:rsidRoot w:val="00254970"/>
    <w:rsid w:val="000503C8"/>
    <w:rsid w:val="00147794"/>
    <w:rsid w:val="001C2E5D"/>
    <w:rsid w:val="00254970"/>
    <w:rsid w:val="0043764B"/>
    <w:rsid w:val="00591BDF"/>
    <w:rsid w:val="006C2D05"/>
    <w:rsid w:val="00724D8F"/>
    <w:rsid w:val="00847E2A"/>
    <w:rsid w:val="00963E13"/>
    <w:rsid w:val="00A315C1"/>
    <w:rsid w:val="00C021CE"/>
    <w:rsid w:val="00E85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C972E-F7D9-4006-A3FC-E339C7E89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970"/>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4970"/>
    <w:rPr>
      <w:color w:val="0563C1" w:themeColor="hyperlink"/>
      <w:u w:val="single"/>
    </w:rPr>
  </w:style>
  <w:style w:type="paragraph" w:customStyle="1" w:styleId="Default">
    <w:name w:val="Default"/>
    <w:uiPriority w:val="99"/>
    <w:rsid w:val="00254970"/>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8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llin.edu/academics/programs/Workforce_SCANS_Skills_Syllabi_Code_Ke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Szlachtowski</dc:creator>
  <cp:keywords/>
  <dc:description/>
  <cp:lastModifiedBy>Karen Murph</cp:lastModifiedBy>
  <cp:revision>3</cp:revision>
  <dcterms:created xsi:type="dcterms:W3CDTF">2017-02-07T19:54:00Z</dcterms:created>
  <dcterms:modified xsi:type="dcterms:W3CDTF">2017-02-08T23:24:00Z</dcterms:modified>
</cp:coreProperties>
</file>