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73" w:rsidRPr="00996A48" w:rsidRDefault="003B2173" w:rsidP="00996A48">
      <w:pPr>
        <w:pStyle w:val="Default"/>
        <w:contextualSpacing/>
        <w:rPr>
          <w:sz w:val="22"/>
          <w:szCs w:val="22"/>
        </w:rPr>
      </w:pPr>
    </w:p>
    <w:p w:rsidR="003026BA" w:rsidRPr="00996A48" w:rsidRDefault="003B2173" w:rsidP="00996A48">
      <w:pPr>
        <w:contextualSpacing/>
        <w:jc w:val="center"/>
        <w:rPr>
          <w:rFonts w:cs="Arial"/>
          <w:b/>
          <w:bCs/>
          <w:sz w:val="22"/>
          <w:szCs w:val="22"/>
        </w:rPr>
      </w:pPr>
      <w:r w:rsidRPr="00996A48">
        <w:rPr>
          <w:rFonts w:cs="Arial"/>
          <w:b/>
          <w:bCs/>
          <w:sz w:val="22"/>
          <w:szCs w:val="22"/>
        </w:rPr>
        <w:t>C</w:t>
      </w:r>
      <w:r w:rsidR="003026BA" w:rsidRPr="00996A48">
        <w:rPr>
          <w:rFonts w:cs="Arial"/>
          <w:b/>
          <w:bCs/>
          <w:sz w:val="22"/>
          <w:szCs w:val="22"/>
        </w:rPr>
        <w:t>OLLIN COLLEGE</w:t>
      </w:r>
    </w:p>
    <w:p w:rsidR="003B2173" w:rsidRPr="00996A48" w:rsidRDefault="003026BA" w:rsidP="00996A48">
      <w:pPr>
        <w:contextualSpacing/>
        <w:jc w:val="center"/>
        <w:rPr>
          <w:rFonts w:cs="Arial"/>
          <w:sz w:val="22"/>
          <w:szCs w:val="22"/>
        </w:rPr>
      </w:pPr>
      <w:r w:rsidRPr="00996A48">
        <w:rPr>
          <w:rFonts w:cs="Arial"/>
          <w:b/>
          <w:bCs/>
          <w:sz w:val="22"/>
          <w:szCs w:val="22"/>
        </w:rPr>
        <w:t>COURSE SYLLABUS</w:t>
      </w:r>
    </w:p>
    <w:p w:rsidR="003B2173" w:rsidRPr="00996A48" w:rsidRDefault="003B2173" w:rsidP="00996A48">
      <w:pPr>
        <w:pStyle w:val="Default"/>
        <w:contextualSpacing/>
        <w:jc w:val="center"/>
        <w:rPr>
          <w:color w:val="auto"/>
          <w:sz w:val="22"/>
          <w:szCs w:val="22"/>
        </w:rPr>
      </w:pPr>
    </w:p>
    <w:p w:rsidR="003026BA" w:rsidRPr="00996A48" w:rsidRDefault="00996A48" w:rsidP="00996A48">
      <w:pPr>
        <w:pStyle w:val="Default"/>
        <w:contextualSpacing/>
        <w:jc w:val="center"/>
        <w:rPr>
          <w:color w:val="auto"/>
          <w:sz w:val="22"/>
          <w:szCs w:val="22"/>
        </w:rPr>
      </w:pPr>
      <w:r w:rsidRPr="00996A48">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81280</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3026BA" w:rsidRPr="00996A48" w:rsidRDefault="003026BA" w:rsidP="003026BA">
                            <w:pPr>
                              <w:rPr>
                                <w:rFonts w:cs="Arial"/>
                                <w:color w:val="000000"/>
                                <w:sz w:val="22"/>
                                <w:szCs w:val="22"/>
                              </w:rPr>
                            </w:pPr>
                            <w:r w:rsidRPr="00996A48">
                              <w:rPr>
                                <w:rFonts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6.4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">
                <v:textbox>
                  <w:txbxContent>
                    <w:p w:rsidR="003026BA" w:rsidRPr="00996A48" w:rsidRDefault="003026BA" w:rsidP="003026BA">
                      <w:pPr>
                        <w:rPr>
                          <w:rFonts w:cs="Arial"/>
                          <w:color w:val="000000"/>
                          <w:sz w:val="22"/>
                          <w:szCs w:val="22"/>
                        </w:rPr>
                      </w:pPr>
                      <w:r w:rsidRPr="00996A48">
                        <w:rPr>
                          <w:rFonts w:cs="Arial"/>
                          <w:color w:val="000000"/>
                          <w:sz w:val="22"/>
                          <w:szCs w:val="22"/>
                        </w:rPr>
                        <w:t>Course Information</w:t>
                      </w:r>
                    </w:p>
                  </w:txbxContent>
                </v:textbox>
              </v:shape>
            </w:pict>
          </mc:Fallback>
        </mc:AlternateContent>
      </w:r>
    </w:p>
    <w:p w:rsidR="003026BA" w:rsidRPr="00996A48" w:rsidRDefault="003026BA" w:rsidP="00996A48">
      <w:pPr>
        <w:pStyle w:val="Default"/>
        <w:contextualSpacing/>
        <w:jc w:val="center"/>
        <w:rPr>
          <w:color w:val="auto"/>
          <w:sz w:val="22"/>
          <w:szCs w:val="22"/>
        </w:rPr>
      </w:pPr>
    </w:p>
    <w:p w:rsidR="003B2173" w:rsidRPr="00996A48" w:rsidRDefault="003B2173" w:rsidP="00996A48">
      <w:pPr>
        <w:pStyle w:val="Default"/>
        <w:contextualSpacing/>
        <w:jc w:val="center"/>
        <w:rPr>
          <w:color w:val="auto"/>
          <w:sz w:val="22"/>
          <w:szCs w:val="22"/>
        </w:rPr>
      </w:pPr>
      <w:r w:rsidRPr="00996A48">
        <w:rPr>
          <w:color w:val="auto"/>
          <w:sz w:val="22"/>
          <w:szCs w:val="22"/>
        </w:rPr>
        <w:t xml:space="preserve"> </w:t>
      </w:r>
    </w:p>
    <w:p w:rsidR="003B2173" w:rsidRPr="002674E7" w:rsidRDefault="003B2173">
      <w:pPr>
        <w:rPr>
          <w:rFonts w:cs="Arial"/>
          <w:sz w:val="19"/>
          <w:szCs w:val="19"/>
        </w:rPr>
      </w:pPr>
      <w:r w:rsidRPr="002674E7">
        <w:rPr>
          <w:rFonts w:cs="Arial"/>
          <w:b/>
          <w:sz w:val="19"/>
          <w:szCs w:val="19"/>
        </w:rPr>
        <w:t>Course Number</w:t>
      </w:r>
      <w:r w:rsidRPr="002674E7">
        <w:rPr>
          <w:rFonts w:cs="Arial"/>
          <w:sz w:val="19"/>
          <w:szCs w:val="19"/>
        </w:rPr>
        <w:t>:</w:t>
      </w:r>
      <w:r w:rsidR="00286309" w:rsidRPr="002674E7">
        <w:rPr>
          <w:rFonts w:cs="Arial"/>
          <w:sz w:val="19"/>
          <w:szCs w:val="19"/>
        </w:rPr>
        <w:t xml:space="preserve"> </w:t>
      </w:r>
      <w:r w:rsidRPr="002674E7">
        <w:rPr>
          <w:rFonts w:cs="Arial"/>
          <w:sz w:val="19"/>
          <w:szCs w:val="19"/>
        </w:rPr>
        <w:t xml:space="preserve"> </w:t>
      </w:r>
      <w:r w:rsidR="00D5231E" w:rsidRPr="002674E7">
        <w:rPr>
          <w:rFonts w:cs="Arial"/>
          <w:iCs/>
          <w:sz w:val="19"/>
          <w:szCs w:val="19"/>
        </w:rPr>
        <w:t>ITSY 2572</w:t>
      </w:r>
    </w:p>
    <w:p w:rsidR="003B2173" w:rsidRPr="002674E7" w:rsidRDefault="003B2173">
      <w:pPr>
        <w:pStyle w:val="Default"/>
        <w:rPr>
          <w:color w:val="auto"/>
          <w:sz w:val="19"/>
          <w:szCs w:val="19"/>
        </w:rPr>
      </w:pPr>
      <w:r w:rsidRPr="002674E7">
        <w:rPr>
          <w:iCs/>
          <w:color w:val="auto"/>
          <w:sz w:val="19"/>
          <w:szCs w:val="19"/>
        </w:rPr>
        <w:t xml:space="preserve"> </w:t>
      </w:r>
    </w:p>
    <w:p w:rsidR="003B2173" w:rsidRPr="002674E7" w:rsidRDefault="003B2173" w:rsidP="00286309">
      <w:pPr>
        <w:pStyle w:val="Default"/>
        <w:ind w:left="360" w:hanging="360"/>
        <w:rPr>
          <w:color w:val="auto"/>
          <w:sz w:val="19"/>
          <w:szCs w:val="19"/>
        </w:rPr>
      </w:pPr>
      <w:r w:rsidRPr="002674E7">
        <w:rPr>
          <w:b/>
          <w:color w:val="auto"/>
          <w:sz w:val="19"/>
          <w:szCs w:val="19"/>
        </w:rPr>
        <w:t>Course Title:</w:t>
      </w:r>
      <w:r w:rsidRPr="002674E7">
        <w:rPr>
          <w:color w:val="auto"/>
          <w:sz w:val="19"/>
          <w:szCs w:val="19"/>
        </w:rPr>
        <w:t xml:space="preserve">  </w:t>
      </w:r>
      <w:r w:rsidR="00D5231E" w:rsidRPr="002674E7">
        <w:rPr>
          <w:color w:val="auto"/>
          <w:sz w:val="19"/>
          <w:szCs w:val="19"/>
        </w:rPr>
        <w:t>Certified Information Systems Security Professional (CISSP) Common Body Of Knowledge Domain Instruction</w:t>
      </w:r>
    </w:p>
    <w:p w:rsidR="003B2173" w:rsidRPr="002674E7" w:rsidRDefault="003B2173">
      <w:pPr>
        <w:pStyle w:val="Default"/>
        <w:rPr>
          <w:color w:val="auto"/>
          <w:sz w:val="19"/>
          <w:szCs w:val="19"/>
        </w:rPr>
      </w:pPr>
      <w:r w:rsidRPr="002674E7">
        <w:rPr>
          <w:color w:val="auto"/>
          <w:sz w:val="19"/>
          <w:szCs w:val="19"/>
        </w:rPr>
        <w:t xml:space="preserve"> </w:t>
      </w:r>
    </w:p>
    <w:p w:rsidR="001A30D8" w:rsidRPr="002674E7" w:rsidRDefault="003B2173" w:rsidP="003026BA">
      <w:pPr>
        <w:ind w:left="360" w:hanging="360"/>
        <w:rPr>
          <w:rFonts w:cs="Arial"/>
          <w:sz w:val="19"/>
          <w:szCs w:val="19"/>
        </w:rPr>
      </w:pPr>
      <w:r w:rsidRPr="002674E7">
        <w:rPr>
          <w:rFonts w:cs="Arial"/>
          <w:b/>
          <w:sz w:val="19"/>
          <w:szCs w:val="19"/>
        </w:rPr>
        <w:t>Course Description:</w:t>
      </w:r>
      <w:r w:rsidRPr="002674E7">
        <w:rPr>
          <w:rFonts w:cs="Arial"/>
          <w:sz w:val="19"/>
          <w:szCs w:val="19"/>
        </w:rPr>
        <w:t xml:space="preserve"> </w:t>
      </w:r>
      <w:r w:rsidR="00F002E0" w:rsidRPr="002674E7">
        <w:rPr>
          <w:rFonts w:cs="Arial"/>
          <w:sz w:val="19"/>
          <w:szCs w:val="19"/>
        </w:rPr>
        <w:t xml:space="preserve"> </w:t>
      </w:r>
      <w:r w:rsidR="001A30D8" w:rsidRPr="002674E7">
        <w:rPr>
          <w:rFonts w:cs="Arial"/>
          <w:sz w:val="19"/>
          <w:szCs w:val="19"/>
        </w:rPr>
        <w:t>An in-depth study of the 10 domains which make up the Common Body of Knowledge (CBK) of information security professionals. The course is designed to instruct individuals to implement solid security practices, perform risk analysis, identify necessary countermeasures, and help the enterprise as a whole protect its facility, network, systems, and information.</w:t>
      </w:r>
      <w:bookmarkStart w:id="0" w:name="_GoBack"/>
      <w:bookmarkEnd w:id="0"/>
    </w:p>
    <w:p w:rsidR="004519BC" w:rsidRPr="002674E7" w:rsidRDefault="004519BC" w:rsidP="004519BC">
      <w:pPr>
        <w:pStyle w:val="Default"/>
        <w:ind w:left="1440" w:firstLine="720"/>
        <w:rPr>
          <w:color w:val="auto"/>
          <w:sz w:val="19"/>
          <w:szCs w:val="19"/>
        </w:rPr>
      </w:pPr>
    </w:p>
    <w:p w:rsidR="00E84F60" w:rsidRPr="002674E7" w:rsidRDefault="003B2173" w:rsidP="00FC7517">
      <w:pPr>
        <w:pStyle w:val="Default"/>
        <w:tabs>
          <w:tab w:val="left" w:pos="2250"/>
        </w:tabs>
        <w:rPr>
          <w:color w:val="auto"/>
          <w:sz w:val="19"/>
          <w:szCs w:val="19"/>
        </w:rPr>
      </w:pPr>
      <w:r w:rsidRPr="002674E7">
        <w:rPr>
          <w:b/>
          <w:color w:val="auto"/>
          <w:sz w:val="19"/>
          <w:szCs w:val="19"/>
        </w:rPr>
        <w:t>Course Credit Hours:</w:t>
      </w:r>
      <w:r w:rsidR="00877588" w:rsidRPr="002674E7">
        <w:rPr>
          <w:color w:val="auto"/>
          <w:sz w:val="19"/>
          <w:szCs w:val="19"/>
        </w:rPr>
        <w:tab/>
      </w:r>
      <w:r w:rsidR="00D5231E" w:rsidRPr="002674E7">
        <w:rPr>
          <w:color w:val="auto"/>
          <w:sz w:val="19"/>
          <w:szCs w:val="19"/>
        </w:rPr>
        <w:t>5</w:t>
      </w:r>
    </w:p>
    <w:p w:rsidR="003B2173" w:rsidRPr="002674E7" w:rsidRDefault="004519BC" w:rsidP="00FC7517">
      <w:pPr>
        <w:pStyle w:val="Default"/>
        <w:tabs>
          <w:tab w:val="left" w:pos="2250"/>
        </w:tabs>
        <w:ind w:left="720"/>
        <w:rPr>
          <w:color w:val="auto"/>
          <w:sz w:val="19"/>
          <w:szCs w:val="19"/>
        </w:rPr>
      </w:pPr>
      <w:r w:rsidRPr="002674E7">
        <w:rPr>
          <w:color w:val="auto"/>
          <w:sz w:val="19"/>
          <w:szCs w:val="19"/>
        </w:rPr>
        <w:t>Lecture Hours:</w:t>
      </w:r>
      <w:r w:rsidR="003B2173" w:rsidRPr="002674E7">
        <w:rPr>
          <w:iCs/>
          <w:color w:val="auto"/>
          <w:sz w:val="19"/>
          <w:szCs w:val="19"/>
        </w:rPr>
        <w:t xml:space="preserve"> </w:t>
      </w:r>
      <w:r w:rsidR="00FC7517" w:rsidRPr="002674E7">
        <w:rPr>
          <w:iCs/>
          <w:color w:val="auto"/>
          <w:sz w:val="19"/>
          <w:szCs w:val="19"/>
        </w:rPr>
        <w:tab/>
      </w:r>
      <w:r w:rsidR="00D5231E" w:rsidRPr="002674E7">
        <w:rPr>
          <w:iCs/>
          <w:color w:val="auto"/>
          <w:sz w:val="19"/>
          <w:szCs w:val="19"/>
        </w:rPr>
        <w:t>5</w:t>
      </w:r>
    </w:p>
    <w:p w:rsidR="003026BA" w:rsidRPr="002674E7" w:rsidRDefault="003026BA">
      <w:pPr>
        <w:pStyle w:val="Default"/>
        <w:ind w:left="720" w:hanging="720"/>
        <w:rPr>
          <w:color w:val="auto"/>
          <w:sz w:val="19"/>
          <w:szCs w:val="19"/>
        </w:rPr>
      </w:pPr>
    </w:p>
    <w:p w:rsidR="003B2173" w:rsidRPr="002674E7" w:rsidRDefault="003B2173">
      <w:pPr>
        <w:pStyle w:val="Default"/>
        <w:ind w:left="720" w:hanging="720"/>
        <w:rPr>
          <w:color w:val="auto"/>
          <w:sz w:val="19"/>
          <w:szCs w:val="19"/>
        </w:rPr>
      </w:pPr>
      <w:r w:rsidRPr="002674E7">
        <w:rPr>
          <w:b/>
          <w:color w:val="auto"/>
          <w:sz w:val="19"/>
          <w:szCs w:val="19"/>
        </w:rPr>
        <w:t>Prerequisite</w:t>
      </w:r>
      <w:r w:rsidR="003026BA" w:rsidRPr="002674E7">
        <w:rPr>
          <w:b/>
          <w:color w:val="auto"/>
          <w:sz w:val="19"/>
          <w:szCs w:val="19"/>
        </w:rPr>
        <w:t>s</w:t>
      </w:r>
      <w:r w:rsidRPr="002674E7">
        <w:rPr>
          <w:b/>
          <w:color w:val="auto"/>
          <w:sz w:val="19"/>
          <w:szCs w:val="19"/>
        </w:rPr>
        <w:t>:</w:t>
      </w:r>
      <w:r w:rsidR="00286309" w:rsidRPr="002674E7">
        <w:rPr>
          <w:b/>
          <w:color w:val="auto"/>
          <w:sz w:val="19"/>
          <w:szCs w:val="19"/>
        </w:rPr>
        <w:t xml:space="preserve"> </w:t>
      </w:r>
      <w:r w:rsidR="00351E9B" w:rsidRPr="002674E7">
        <w:rPr>
          <w:color w:val="auto"/>
          <w:sz w:val="19"/>
          <w:szCs w:val="19"/>
        </w:rPr>
        <w:t xml:space="preserve"> </w:t>
      </w:r>
      <w:r w:rsidR="00976356" w:rsidRPr="002674E7">
        <w:rPr>
          <w:color w:val="auto"/>
          <w:sz w:val="19"/>
          <w:szCs w:val="19"/>
        </w:rPr>
        <w:t>ITSY 13</w:t>
      </w:r>
      <w:r w:rsidR="00351E9B" w:rsidRPr="002674E7">
        <w:rPr>
          <w:color w:val="auto"/>
          <w:sz w:val="19"/>
          <w:szCs w:val="19"/>
        </w:rPr>
        <w:t>00</w:t>
      </w:r>
      <w:r w:rsidR="003026BA" w:rsidRPr="002674E7">
        <w:rPr>
          <w:color w:val="auto"/>
          <w:sz w:val="19"/>
          <w:szCs w:val="19"/>
        </w:rPr>
        <w:t xml:space="preserve"> and</w:t>
      </w:r>
      <w:r w:rsidR="00351E9B" w:rsidRPr="002674E7">
        <w:rPr>
          <w:color w:val="auto"/>
          <w:sz w:val="19"/>
          <w:szCs w:val="19"/>
        </w:rPr>
        <w:t xml:space="preserve"> ITSY 2300</w:t>
      </w:r>
      <w:r w:rsidR="0018196B" w:rsidRPr="002674E7">
        <w:rPr>
          <w:color w:val="auto"/>
          <w:sz w:val="19"/>
          <w:szCs w:val="19"/>
        </w:rPr>
        <w:t>,</w:t>
      </w:r>
      <w:r w:rsidR="00351E9B" w:rsidRPr="002674E7">
        <w:rPr>
          <w:color w:val="auto"/>
          <w:sz w:val="19"/>
          <w:szCs w:val="19"/>
        </w:rPr>
        <w:t xml:space="preserve"> or equivalent experience </w:t>
      </w:r>
      <w:r w:rsidR="00351E9B" w:rsidRPr="00C57EC8">
        <w:rPr>
          <w:color w:val="auto"/>
          <w:sz w:val="19"/>
          <w:szCs w:val="19"/>
        </w:rPr>
        <w:t xml:space="preserve">and consent of the </w:t>
      </w:r>
      <w:r w:rsidR="00996A48" w:rsidRPr="00C57EC8">
        <w:rPr>
          <w:color w:val="auto"/>
          <w:sz w:val="19"/>
          <w:szCs w:val="19"/>
        </w:rPr>
        <w:t>Associate Dean.</w:t>
      </w:r>
    </w:p>
    <w:p w:rsidR="003B2173" w:rsidRPr="002674E7" w:rsidRDefault="003B2173">
      <w:pPr>
        <w:pStyle w:val="Default"/>
        <w:rPr>
          <w:color w:val="auto"/>
          <w:sz w:val="19"/>
          <w:szCs w:val="19"/>
        </w:rPr>
      </w:pPr>
      <w:r w:rsidRPr="002674E7">
        <w:rPr>
          <w:color w:val="auto"/>
          <w:sz w:val="19"/>
          <w:szCs w:val="19"/>
        </w:rPr>
        <w:t xml:space="preserve"> </w:t>
      </w:r>
    </w:p>
    <w:p w:rsidR="00EF070C" w:rsidRPr="002674E7" w:rsidRDefault="003B2173" w:rsidP="00286309">
      <w:pPr>
        <w:ind w:left="360" w:hanging="360"/>
        <w:rPr>
          <w:sz w:val="19"/>
          <w:szCs w:val="19"/>
          <w:lang w:val="en"/>
        </w:rPr>
      </w:pPr>
      <w:r w:rsidRPr="002674E7">
        <w:rPr>
          <w:b/>
          <w:sz w:val="19"/>
          <w:szCs w:val="19"/>
        </w:rPr>
        <w:t>Student Learning Outcomes:</w:t>
      </w:r>
      <w:r w:rsidRPr="002674E7">
        <w:rPr>
          <w:sz w:val="19"/>
          <w:szCs w:val="19"/>
        </w:rPr>
        <w:t xml:space="preserve"> </w:t>
      </w:r>
      <w:r w:rsidR="00286309" w:rsidRPr="002674E7">
        <w:rPr>
          <w:sz w:val="19"/>
          <w:szCs w:val="19"/>
        </w:rPr>
        <w:t xml:space="preserve"> </w:t>
      </w:r>
      <w:r w:rsidR="001A30D8" w:rsidRPr="002674E7">
        <w:rPr>
          <w:sz w:val="19"/>
          <w:szCs w:val="19"/>
          <w:lang w:val="en"/>
        </w:rPr>
        <w:t xml:space="preserve">The student will become proficient in the ten Common Body of Knowledge (CBK) domains. The CBK domains are: </w:t>
      </w:r>
    </w:p>
    <w:p w:rsidR="00EF070C" w:rsidRPr="002674E7" w:rsidRDefault="001A30D8" w:rsidP="002674E7">
      <w:pPr>
        <w:numPr>
          <w:ilvl w:val="0"/>
          <w:numId w:val="5"/>
        </w:numPr>
        <w:ind w:left="720"/>
        <w:rPr>
          <w:rFonts w:cs="Arial"/>
          <w:bCs/>
          <w:sz w:val="19"/>
          <w:szCs w:val="19"/>
        </w:rPr>
      </w:pPr>
      <w:r w:rsidRPr="002674E7">
        <w:rPr>
          <w:sz w:val="19"/>
          <w:szCs w:val="19"/>
          <w:lang w:val="en"/>
        </w:rPr>
        <w:t>Information and Risk Management</w:t>
      </w:r>
      <w:r w:rsidR="002674E7" w:rsidRPr="002674E7">
        <w:rPr>
          <w:sz w:val="19"/>
          <w:szCs w:val="19"/>
          <w:lang w:val="en"/>
        </w:rPr>
        <w:t>.</w:t>
      </w:r>
      <w:r w:rsidRPr="002674E7">
        <w:rPr>
          <w:sz w:val="19"/>
          <w:szCs w:val="19"/>
          <w:lang w:val="en"/>
        </w:rPr>
        <w:t xml:space="preserve"> </w:t>
      </w:r>
      <w:r w:rsidR="00EF070C" w:rsidRPr="002674E7">
        <w:rPr>
          <w:rFonts w:cs="Arial"/>
          <w:bCs/>
          <w:sz w:val="19"/>
          <w:szCs w:val="19"/>
        </w:rPr>
        <w:t>(SCANS: F1,F2,F3,F4,</w:t>
      </w:r>
      <w:r w:rsidR="002674E7">
        <w:rPr>
          <w:rFonts w:cs="Arial"/>
          <w:bCs/>
          <w:sz w:val="19"/>
          <w:szCs w:val="19"/>
        </w:rPr>
        <w:t xml:space="preserve">F5,F6,F7,F8,F9,F10,F11,F12,F13, </w:t>
      </w:r>
      <w:r w:rsidR="00EF070C" w:rsidRPr="002674E7">
        <w:rPr>
          <w:rFonts w:cs="Arial"/>
          <w:bCs/>
          <w:sz w:val="19"/>
          <w:szCs w:val="19"/>
        </w:rPr>
        <w:t>F14,F15,F16,C1,C2,C3,C4,C5,C6,C7,C8,C9,C10,C11,C12,C13,C14,C15,C16,C17,C18,C19,C20)</w:t>
      </w:r>
    </w:p>
    <w:p w:rsidR="00EF070C" w:rsidRPr="002674E7" w:rsidRDefault="001A30D8" w:rsidP="002674E7">
      <w:pPr>
        <w:numPr>
          <w:ilvl w:val="0"/>
          <w:numId w:val="5"/>
        </w:numPr>
        <w:ind w:left="720"/>
        <w:rPr>
          <w:rFonts w:cs="Arial"/>
          <w:bCs/>
          <w:sz w:val="19"/>
          <w:szCs w:val="19"/>
        </w:rPr>
      </w:pPr>
      <w:r w:rsidRPr="002674E7">
        <w:rPr>
          <w:sz w:val="19"/>
          <w:szCs w:val="19"/>
          <w:lang w:val="en"/>
        </w:rPr>
        <w:t>Access Controls</w:t>
      </w:r>
      <w:r w:rsidR="002674E7" w:rsidRPr="002674E7">
        <w:rPr>
          <w:sz w:val="19"/>
          <w:szCs w:val="19"/>
          <w:lang w:val="en"/>
        </w:rPr>
        <w:t>.</w:t>
      </w:r>
      <w:r w:rsidRPr="002674E7">
        <w:rPr>
          <w:sz w:val="19"/>
          <w:szCs w:val="19"/>
          <w:lang w:val="en"/>
        </w:rPr>
        <w:t xml:space="preserve"> </w:t>
      </w:r>
      <w:r w:rsidR="00EF070C" w:rsidRPr="002674E7">
        <w:rPr>
          <w:rFonts w:cs="Arial"/>
          <w:bCs/>
          <w:sz w:val="19"/>
          <w:szCs w:val="19"/>
        </w:rPr>
        <w:t>(SCANS: F1,F2,F3,F4,F5,F6,F7,F8,F9,F10,F11,F12,F13, F14,F15,F16,C1,C2,C3,C4,C5,C6,C7,C8,C9,C10,C11,C12,C13,C14,C15,C16,C17,C18,C19,C20)</w:t>
      </w:r>
    </w:p>
    <w:p w:rsidR="00EF070C" w:rsidRPr="002674E7" w:rsidRDefault="001A30D8" w:rsidP="002674E7">
      <w:pPr>
        <w:numPr>
          <w:ilvl w:val="0"/>
          <w:numId w:val="5"/>
        </w:numPr>
        <w:ind w:left="720"/>
        <w:rPr>
          <w:rFonts w:cs="Arial"/>
          <w:bCs/>
          <w:sz w:val="19"/>
          <w:szCs w:val="19"/>
        </w:rPr>
      </w:pPr>
      <w:r w:rsidRPr="002674E7">
        <w:rPr>
          <w:sz w:val="19"/>
          <w:szCs w:val="19"/>
        </w:rPr>
        <w:t>Security Architecture and Design</w:t>
      </w:r>
      <w:r w:rsidR="002674E7" w:rsidRPr="002674E7">
        <w:rPr>
          <w:sz w:val="19"/>
          <w:szCs w:val="19"/>
        </w:rPr>
        <w:t>.</w:t>
      </w:r>
      <w:r w:rsidRPr="002674E7">
        <w:rPr>
          <w:sz w:val="19"/>
          <w:szCs w:val="19"/>
          <w:lang w:val="en"/>
        </w:rPr>
        <w:t xml:space="preserve"> </w:t>
      </w:r>
      <w:r w:rsidR="00EF070C" w:rsidRPr="002674E7">
        <w:rPr>
          <w:rFonts w:cs="Arial"/>
          <w:bCs/>
          <w:sz w:val="19"/>
          <w:szCs w:val="19"/>
        </w:rPr>
        <w:t>(SCANS: F1,F2,F3,F4,F5,F6,F7,F8,F9,F10,F11,F12,F13, F14,F15,F16,C1,C2,C3,C4,C5,C6,C7,C8,C9,C10,C11,C12,C13,C14,C15,C16,C17,C18,C19,C20)</w:t>
      </w:r>
    </w:p>
    <w:p w:rsidR="00EF070C" w:rsidRPr="002674E7" w:rsidRDefault="001A30D8" w:rsidP="002674E7">
      <w:pPr>
        <w:numPr>
          <w:ilvl w:val="0"/>
          <w:numId w:val="5"/>
        </w:numPr>
        <w:ind w:left="720"/>
        <w:rPr>
          <w:rFonts w:cs="Arial"/>
          <w:bCs/>
          <w:sz w:val="19"/>
          <w:szCs w:val="19"/>
        </w:rPr>
      </w:pPr>
      <w:r w:rsidRPr="002674E7">
        <w:rPr>
          <w:sz w:val="19"/>
          <w:szCs w:val="19"/>
        </w:rPr>
        <w:t>Telecommunications and Network Security</w:t>
      </w:r>
      <w:r w:rsidR="002674E7" w:rsidRPr="002674E7">
        <w:rPr>
          <w:sz w:val="19"/>
          <w:szCs w:val="19"/>
        </w:rPr>
        <w:t>.</w:t>
      </w:r>
      <w:r w:rsidRPr="002674E7">
        <w:rPr>
          <w:sz w:val="19"/>
          <w:szCs w:val="19"/>
          <w:lang w:val="en"/>
        </w:rPr>
        <w:t xml:space="preserve"> </w:t>
      </w:r>
      <w:r w:rsidR="00EF070C" w:rsidRPr="002674E7">
        <w:rPr>
          <w:rFonts w:cs="Arial"/>
          <w:bCs/>
          <w:sz w:val="19"/>
          <w:szCs w:val="19"/>
        </w:rPr>
        <w:t>(SCANS: F1,F2,F3,F4,F5,F6,F7,F8,F9,F10,F11,F12,F13, F14,F15,F16,C1,C2,C3,C4,C5,C6,C7,C8,C9,C10,C11,C12,C13,C14,C15,C16,C17,C18,C19,C20)</w:t>
      </w:r>
    </w:p>
    <w:p w:rsidR="00EF070C" w:rsidRPr="002674E7" w:rsidRDefault="001A30D8" w:rsidP="002674E7">
      <w:pPr>
        <w:numPr>
          <w:ilvl w:val="0"/>
          <w:numId w:val="5"/>
        </w:numPr>
        <w:ind w:left="720"/>
        <w:rPr>
          <w:rFonts w:cs="Arial"/>
          <w:bCs/>
          <w:sz w:val="19"/>
          <w:szCs w:val="19"/>
        </w:rPr>
      </w:pPr>
      <w:r w:rsidRPr="002674E7">
        <w:rPr>
          <w:sz w:val="19"/>
          <w:szCs w:val="19"/>
        </w:rPr>
        <w:t>Cryptography</w:t>
      </w:r>
      <w:r w:rsidR="002674E7" w:rsidRPr="002674E7">
        <w:rPr>
          <w:sz w:val="19"/>
          <w:szCs w:val="19"/>
        </w:rPr>
        <w:t>.</w:t>
      </w:r>
      <w:r w:rsidRPr="002674E7">
        <w:rPr>
          <w:sz w:val="19"/>
          <w:szCs w:val="19"/>
          <w:lang w:val="en"/>
        </w:rPr>
        <w:t xml:space="preserve"> </w:t>
      </w:r>
      <w:r w:rsidR="00EF070C" w:rsidRPr="002674E7">
        <w:rPr>
          <w:rFonts w:cs="Arial"/>
          <w:bCs/>
          <w:sz w:val="19"/>
          <w:szCs w:val="19"/>
        </w:rPr>
        <w:t>(SCANS: F1,F2,F3,F4,F5,F6,F7,F8,F9,F10,F11,F12,F13, F14,F15,F16,C1,C2,C3,C4,C5,C6,C7,C8,C9,C10,C11,C12,C13,C14,C15,C16,C17,C18,C19,C20)</w:t>
      </w:r>
    </w:p>
    <w:p w:rsidR="00EF070C" w:rsidRPr="002674E7" w:rsidRDefault="001A30D8" w:rsidP="002674E7">
      <w:pPr>
        <w:numPr>
          <w:ilvl w:val="0"/>
          <w:numId w:val="5"/>
        </w:numPr>
        <w:ind w:left="720"/>
        <w:rPr>
          <w:rFonts w:cs="Arial"/>
          <w:bCs/>
          <w:sz w:val="19"/>
          <w:szCs w:val="19"/>
        </w:rPr>
      </w:pPr>
      <w:r w:rsidRPr="002674E7">
        <w:rPr>
          <w:sz w:val="19"/>
          <w:szCs w:val="19"/>
        </w:rPr>
        <w:t>Business Continuity and Disaster Recovery</w:t>
      </w:r>
      <w:r w:rsidR="002674E7" w:rsidRPr="002674E7">
        <w:rPr>
          <w:sz w:val="19"/>
          <w:szCs w:val="19"/>
        </w:rPr>
        <w:t>.</w:t>
      </w:r>
      <w:r w:rsidRPr="002674E7">
        <w:rPr>
          <w:sz w:val="19"/>
          <w:szCs w:val="19"/>
          <w:lang w:val="en"/>
        </w:rPr>
        <w:t xml:space="preserve"> </w:t>
      </w:r>
      <w:r w:rsidR="00EF070C" w:rsidRPr="002674E7">
        <w:rPr>
          <w:rFonts w:cs="Arial"/>
          <w:bCs/>
          <w:sz w:val="19"/>
          <w:szCs w:val="19"/>
        </w:rPr>
        <w:t>(SCANS: F1,F2,F3,F4,F5,F6,F7,F8,F9,F10,F11,F12,F13, F14,F15,F16,C1,C2,C3,C4,C5,C6,C7,C8,C9,C10,C11,C12,C13,C14,C15,C16,C17,C18,C19,C20)</w:t>
      </w:r>
    </w:p>
    <w:p w:rsidR="00EF070C" w:rsidRPr="002674E7" w:rsidRDefault="001A30D8" w:rsidP="002674E7">
      <w:pPr>
        <w:numPr>
          <w:ilvl w:val="0"/>
          <w:numId w:val="5"/>
        </w:numPr>
        <w:ind w:left="720"/>
        <w:rPr>
          <w:rFonts w:cs="Arial"/>
          <w:bCs/>
          <w:sz w:val="19"/>
          <w:szCs w:val="19"/>
        </w:rPr>
      </w:pPr>
      <w:r w:rsidRPr="002674E7">
        <w:rPr>
          <w:sz w:val="19"/>
          <w:szCs w:val="19"/>
        </w:rPr>
        <w:t>Legal, Regulations, Compliance and Investigations</w:t>
      </w:r>
      <w:r w:rsidR="002674E7" w:rsidRPr="002674E7">
        <w:rPr>
          <w:sz w:val="19"/>
          <w:szCs w:val="19"/>
        </w:rPr>
        <w:t>.</w:t>
      </w:r>
      <w:r w:rsidR="00EF070C" w:rsidRPr="002674E7">
        <w:rPr>
          <w:rFonts w:cs="Arial"/>
          <w:bCs/>
          <w:sz w:val="19"/>
          <w:szCs w:val="19"/>
        </w:rPr>
        <w:t xml:space="preserve"> (SCANS: F1,F2,F3,F4,F5,F6,F7,F8,F9,F10,F11,F12,F13, F14,F15,F16,C1,C2,C3,C4,C5,C6,C7,C8,C9,C10,C11,C12,C13,C14,C15,C16,C17,C18,C19,C20)</w:t>
      </w:r>
      <w:r w:rsidRPr="002674E7">
        <w:rPr>
          <w:sz w:val="19"/>
          <w:szCs w:val="19"/>
          <w:lang w:val="en"/>
        </w:rPr>
        <w:t xml:space="preserve"> </w:t>
      </w:r>
    </w:p>
    <w:p w:rsidR="00EF070C" w:rsidRPr="002674E7" w:rsidRDefault="001A30D8" w:rsidP="002674E7">
      <w:pPr>
        <w:numPr>
          <w:ilvl w:val="0"/>
          <w:numId w:val="5"/>
        </w:numPr>
        <w:ind w:left="720"/>
        <w:rPr>
          <w:rFonts w:cs="Arial"/>
          <w:bCs/>
          <w:sz w:val="19"/>
          <w:szCs w:val="19"/>
        </w:rPr>
      </w:pPr>
      <w:r w:rsidRPr="002674E7">
        <w:rPr>
          <w:sz w:val="19"/>
          <w:szCs w:val="19"/>
        </w:rPr>
        <w:t>Applications Security</w:t>
      </w:r>
      <w:r w:rsidR="002674E7" w:rsidRPr="002674E7">
        <w:rPr>
          <w:sz w:val="19"/>
          <w:szCs w:val="19"/>
        </w:rPr>
        <w:t>.</w:t>
      </w:r>
      <w:r w:rsidRPr="002674E7">
        <w:rPr>
          <w:sz w:val="19"/>
          <w:szCs w:val="19"/>
          <w:lang w:val="en"/>
        </w:rPr>
        <w:t xml:space="preserve"> </w:t>
      </w:r>
      <w:r w:rsidR="00EF070C" w:rsidRPr="002674E7">
        <w:rPr>
          <w:rFonts w:cs="Arial"/>
          <w:bCs/>
          <w:sz w:val="19"/>
          <w:szCs w:val="19"/>
        </w:rPr>
        <w:t>(SCANS: F1,F2,F3,F4,F5,F6,F7,F8,F9,F10,F11,F12,F13, F14,F15,F16,C1,C2,C3,C4,C5,C6,C7,C8,C9,C10,C11,C12,C13,C14,C15,C16,C17,C18,C19,C20)</w:t>
      </w:r>
    </w:p>
    <w:p w:rsidR="00EF070C" w:rsidRPr="002674E7" w:rsidRDefault="001A30D8" w:rsidP="002674E7">
      <w:pPr>
        <w:numPr>
          <w:ilvl w:val="0"/>
          <w:numId w:val="5"/>
        </w:numPr>
        <w:ind w:left="720"/>
        <w:rPr>
          <w:rFonts w:cs="Arial"/>
          <w:bCs/>
          <w:sz w:val="19"/>
          <w:szCs w:val="19"/>
        </w:rPr>
      </w:pPr>
      <w:r w:rsidRPr="002674E7">
        <w:rPr>
          <w:sz w:val="19"/>
          <w:szCs w:val="19"/>
        </w:rPr>
        <w:t>Operations Security</w:t>
      </w:r>
      <w:r w:rsidR="002674E7" w:rsidRPr="002674E7">
        <w:rPr>
          <w:sz w:val="19"/>
          <w:szCs w:val="19"/>
        </w:rPr>
        <w:t>.</w:t>
      </w:r>
      <w:r w:rsidR="00EF070C" w:rsidRPr="002674E7">
        <w:rPr>
          <w:rFonts w:cs="Arial"/>
          <w:bCs/>
          <w:sz w:val="19"/>
          <w:szCs w:val="19"/>
        </w:rPr>
        <w:t xml:space="preserve"> (SCANS: F1,F2,F3,F4,F5,F6,F7,F8,F9,F10,F11,F12,F13, F14,F15,F16,C1,C2,C3,C4,C5,C6,C7,C8,C9,C10,C11,C12,C13,C14,C15,C16,C17,C18,C19,C20)</w:t>
      </w:r>
    </w:p>
    <w:p w:rsidR="00EF070C" w:rsidRPr="002674E7" w:rsidRDefault="001A30D8" w:rsidP="002674E7">
      <w:pPr>
        <w:numPr>
          <w:ilvl w:val="0"/>
          <w:numId w:val="5"/>
        </w:numPr>
        <w:ind w:left="720"/>
        <w:rPr>
          <w:rFonts w:cs="Arial"/>
          <w:bCs/>
          <w:sz w:val="19"/>
          <w:szCs w:val="19"/>
        </w:rPr>
      </w:pPr>
      <w:r w:rsidRPr="002674E7">
        <w:rPr>
          <w:sz w:val="19"/>
          <w:szCs w:val="19"/>
        </w:rPr>
        <w:t>Physical and Environmental Security.</w:t>
      </w:r>
      <w:r w:rsidR="00FC7517" w:rsidRPr="002674E7">
        <w:rPr>
          <w:sz w:val="19"/>
          <w:szCs w:val="19"/>
        </w:rPr>
        <w:t xml:space="preserve"> </w:t>
      </w:r>
      <w:r w:rsidR="00EF070C" w:rsidRPr="002674E7">
        <w:rPr>
          <w:rFonts w:cs="Arial"/>
          <w:bCs/>
          <w:sz w:val="19"/>
          <w:szCs w:val="19"/>
        </w:rPr>
        <w:t>(SCANS: F1,F2,F3,F4,F5,F6,F7,F8,F9,F10,F11,F12,F13, F14,F15,F16,C1,C2,C3,C4,C5,C6,C7,C8,C9,C10,C11,C12,C13,C14,C15,C16,C17,C18,C19,C20)</w:t>
      </w:r>
    </w:p>
    <w:p w:rsidR="00EF070C" w:rsidRPr="002674E7" w:rsidRDefault="00EF070C" w:rsidP="00EF070C">
      <w:pPr>
        <w:pStyle w:val="Default"/>
        <w:rPr>
          <w:sz w:val="19"/>
          <w:szCs w:val="19"/>
        </w:rPr>
      </w:pPr>
    </w:p>
    <w:p w:rsidR="00CB3D5E" w:rsidRPr="002674E7" w:rsidRDefault="001A30D8" w:rsidP="00EF070C">
      <w:pPr>
        <w:ind w:left="360"/>
        <w:rPr>
          <w:rFonts w:cs="Arial"/>
          <w:bCs/>
          <w:sz w:val="19"/>
          <w:szCs w:val="19"/>
        </w:rPr>
      </w:pPr>
      <w:r w:rsidRPr="002674E7">
        <w:rPr>
          <w:sz w:val="19"/>
          <w:szCs w:val="19"/>
        </w:rPr>
        <w:t xml:space="preserve">The CBK is the collection and organization of internationally recognized security material relevant for information system security professionals. </w:t>
      </w:r>
    </w:p>
    <w:p w:rsidR="00EF070C" w:rsidRPr="002674E7" w:rsidRDefault="00EF070C" w:rsidP="00EF070C">
      <w:pPr>
        <w:pStyle w:val="Default"/>
        <w:rPr>
          <w:sz w:val="19"/>
          <w:szCs w:val="19"/>
        </w:rPr>
      </w:pPr>
    </w:p>
    <w:p w:rsidR="00CB3D5E" w:rsidRPr="002674E7" w:rsidRDefault="00CB3D5E" w:rsidP="00286309">
      <w:pPr>
        <w:widowControl/>
        <w:ind w:left="360" w:right="-90" w:hanging="360"/>
        <w:rPr>
          <w:rFonts w:cs="Arial"/>
          <w:color w:val="000000"/>
          <w:sz w:val="19"/>
          <w:szCs w:val="19"/>
        </w:rPr>
      </w:pPr>
      <w:r w:rsidRPr="002674E7">
        <w:rPr>
          <w:rFonts w:cs="Arial"/>
          <w:b/>
          <w:color w:val="000000"/>
          <w:sz w:val="19"/>
          <w:szCs w:val="19"/>
        </w:rPr>
        <w:t>Secretary’s Commission on the Acquisition of Necessary Skills (SCANS)</w:t>
      </w:r>
      <w:r w:rsidR="00C67044" w:rsidRPr="002674E7">
        <w:rPr>
          <w:rFonts w:cs="Arial"/>
          <w:b/>
          <w:color w:val="000000"/>
          <w:sz w:val="19"/>
          <w:szCs w:val="19"/>
        </w:rPr>
        <w:t xml:space="preserve"> </w:t>
      </w:r>
      <w:r w:rsidRPr="002674E7">
        <w:rPr>
          <w:rFonts w:cs="Arial"/>
          <w:b/>
          <w:color w:val="000000"/>
          <w:sz w:val="19"/>
          <w:szCs w:val="19"/>
        </w:rPr>
        <w:t>-</w:t>
      </w:r>
      <w:r w:rsidRPr="002674E7">
        <w:rPr>
          <w:rFonts w:cs="Arial"/>
          <w:color w:val="000000"/>
          <w:sz w:val="19"/>
          <w:szCs w:val="19"/>
        </w:rPr>
        <w:t xml:space="preserve"> SCANS skills are a group of foundational skills and workplace competencies that the Secretary’s Commission on the Acquisition of Necessary Skills established as vitally important for workplace success in the 21</w:t>
      </w:r>
      <w:r w:rsidRPr="002674E7">
        <w:rPr>
          <w:rFonts w:cs="Arial"/>
          <w:color w:val="000000"/>
          <w:sz w:val="19"/>
          <w:szCs w:val="19"/>
          <w:vertAlign w:val="superscript"/>
        </w:rPr>
        <w:t>st</w:t>
      </w:r>
      <w:r w:rsidRPr="002674E7">
        <w:rPr>
          <w:rFonts w:cs="Arial"/>
          <w:color w:val="000000"/>
          <w:sz w:val="19"/>
          <w:szCs w:val="19"/>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5" w:history="1">
        <w:r w:rsidRPr="002674E7">
          <w:rPr>
            <w:rFonts w:cs="Arial"/>
            <w:color w:val="0000FF"/>
            <w:sz w:val="19"/>
            <w:szCs w:val="19"/>
            <w:u w:val="single"/>
          </w:rPr>
          <w:t>http://www.collin.edu/academics/programs/Workforce_SCANS_Skills_Syllabi_Code_Key.pdf</w:t>
        </w:r>
      </w:hyperlink>
    </w:p>
    <w:p w:rsidR="00CB3D5E" w:rsidRPr="002674E7" w:rsidRDefault="00CB3D5E" w:rsidP="00CB3D5E">
      <w:pPr>
        <w:widowControl/>
        <w:ind w:right="-720"/>
        <w:rPr>
          <w:rFonts w:cs="Arial"/>
          <w:color w:val="000000"/>
          <w:sz w:val="19"/>
          <w:szCs w:val="19"/>
        </w:rPr>
      </w:pPr>
    </w:p>
    <w:p w:rsidR="003026BA" w:rsidRPr="002674E7" w:rsidRDefault="003026BA" w:rsidP="003026BA">
      <w:pPr>
        <w:rPr>
          <w:rFonts w:cs="Arial"/>
          <w:color w:val="000000"/>
          <w:sz w:val="19"/>
          <w:szCs w:val="19"/>
        </w:rPr>
      </w:pPr>
      <w:r w:rsidRPr="002674E7">
        <w:rPr>
          <w:rFonts w:cs="Arial"/>
          <w:b/>
          <w:color w:val="000000"/>
          <w:sz w:val="19"/>
          <w:szCs w:val="19"/>
        </w:rPr>
        <w:t xml:space="preserve">Withdrawal Policy:  </w:t>
      </w:r>
      <w:r w:rsidRPr="002674E7">
        <w:rPr>
          <w:rFonts w:cs="Arial"/>
          <w:color w:val="000000"/>
          <w:sz w:val="19"/>
          <w:szCs w:val="19"/>
        </w:rPr>
        <w:t xml:space="preserve">See the current </w:t>
      </w:r>
      <w:r w:rsidRPr="002674E7">
        <w:rPr>
          <w:rFonts w:cs="Arial"/>
          <w:i/>
          <w:color w:val="000000"/>
          <w:sz w:val="19"/>
          <w:szCs w:val="19"/>
        </w:rPr>
        <w:t>Collin Registration Guide</w:t>
      </w:r>
      <w:r w:rsidRPr="002674E7">
        <w:rPr>
          <w:rFonts w:cs="Arial"/>
          <w:color w:val="000000"/>
          <w:sz w:val="19"/>
          <w:szCs w:val="19"/>
        </w:rPr>
        <w:t xml:space="preserve"> for last day to withdraw.</w:t>
      </w:r>
    </w:p>
    <w:p w:rsidR="003026BA" w:rsidRPr="002674E7" w:rsidRDefault="003026BA" w:rsidP="003026BA">
      <w:pPr>
        <w:rPr>
          <w:rFonts w:cs="Arial"/>
          <w:b/>
          <w:color w:val="000000"/>
          <w:sz w:val="19"/>
          <w:szCs w:val="19"/>
        </w:rPr>
      </w:pPr>
    </w:p>
    <w:p w:rsidR="003026BA" w:rsidRPr="002674E7" w:rsidRDefault="003026BA" w:rsidP="003026BA">
      <w:pPr>
        <w:rPr>
          <w:rFonts w:cs="Arial"/>
          <w:color w:val="000000"/>
          <w:sz w:val="19"/>
          <w:szCs w:val="19"/>
        </w:rPr>
      </w:pPr>
      <w:r w:rsidRPr="002674E7">
        <w:rPr>
          <w:rFonts w:cs="Arial"/>
          <w:b/>
          <w:color w:val="000000"/>
          <w:sz w:val="19"/>
          <w:szCs w:val="19"/>
        </w:rPr>
        <w:t>Collin College Academic Policies:</w:t>
      </w:r>
      <w:r w:rsidRPr="002674E7">
        <w:rPr>
          <w:rFonts w:cs="Arial"/>
          <w:color w:val="000000"/>
          <w:sz w:val="19"/>
          <w:szCs w:val="19"/>
        </w:rPr>
        <w:t xml:space="preserve">  See the current </w:t>
      </w:r>
      <w:r w:rsidRPr="002674E7">
        <w:rPr>
          <w:rFonts w:cs="Arial"/>
          <w:i/>
          <w:color w:val="000000"/>
          <w:sz w:val="19"/>
          <w:szCs w:val="19"/>
        </w:rPr>
        <w:t>Collin Student Handbook.</w:t>
      </w:r>
    </w:p>
    <w:p w:rsidR="003026BA" w:rsidRPr="002674E7" w:rsidRDefault="003026BA" w:rsidP="003026BA">
      <w:pPr>
        <w:ind w:left="450" w:hanging="450"/>
        <w:rPr>
          <w:rFonts w:cs="Arial"/>
          <w:b/>
          <w:color w:val="000000"/>
          <w:sz w:val="19"/>
          <w:szCs w:val="19"/>
        </w:rPr>
      </w:pPr>
    </w:p>
    <w:p w:rsidR="003026BA" w:rsidRPr="002674E7" w:rsidRDefault="003026BA" w:rsidP="003026BA">
      <w:pPr>
        <w:ind w:left="360" w:hanging="360"/>
        <w:rPr>
          <w:rFonts w:cs="Arial"/>
          <w:color w:val="000000"/>
          <w:sz w:val="19"/>
          <w:szCs w:val="19"/>
        </w:rPr>
      </w:pPr>
      <w:r w:rsidRPr="002674E7">
        <w:rPr>
          <w:rFonts w:cs="Arial"/>
          <w:b/>
          <w:color w:val="000000"/>
          <w:sz w:val="19"/>
          <w:szCs w:val="19"/>
        </w:rPr>
        <w:t>Americans with Disabilities Act Statement:</w:t>
      </w:r>
      <w:r w:rsidRPr="002674E7">
        <w:rPr>
          <w:rFonts w:cs="Arial"/>
          <w:color w:val="000000"/>
          <w:sz w:val="19"/>
          <w:szCs w:val="19"/>
        </w:rPr>
        <w:t xml:space="preserve"> </w:t>
      </w:r>
      <w:r w:rsidR="00286309" w:rsidRPr="002674E7">
        <w:rPr>
          <w:rFonts w:cs="Arial"/>
          <w:color w:val="000000"/>
          <w:sz w:val="19"/>
          <w:szCs w:val="19"/>
        </w:rPr>
        <w:t xml:space="preserve"> </w:t>
      </w:r>
      <w:r w:rsidRPr="002674E7">
        <w:rPr>
          <w:rFonts w:cs="Arial"/>
          <w:color w:val="000000"/>
          <w:sz w:val="19"/>
          <w:szCs w:val="19"/>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DB4FD3" w:rsidRPr="002674E7">
        <w:rPr>
          <w:rFonts w:cs="Arial"/>
          <w:color w:val="000000"/>
          <w:sz w:val="19"/>
          <w:szCs w:val="19"/>
        </w:rPr>
        <w:t>D140</w:t>
      </w:r>
      <w:r w:rsidRPr="002674E7">
        <w:rPr>
          <w:rFonts w:cs="Arial"/>
          <w:color w:val="000000"/>
          <w:sz w:val="19"/>
          <w:szCs w:val="19"/>
        </w:rPr>
        <w:t xml:space="preserve"> or 972.881.5898 (V/TTD: 972.881.5950) to arrange for appropriate accommodations. See the current </w:t>
      </w:r>
      <w:r w:rsidRPr="002674E7">
        <w:rPr>
          <w:rFonts w:cs="Arial"/>
          <w:i/>
          <w:color w:val="000000"/>
          <w:sz w:val="19"/>
          <w:szCs w:val="19"/>
        </w:rPr>
        <w:t>Collin Student Handbook</w:t>
      </w:r>
      <w:r w:rsidRPr="002674E7">
        <w:rPr>
          <w:rFonts w:cs="Arial"/>
          <w:color w:val="000000"/>
          <w:sz w:val="19"/>
          <w:szCs w:val="19"/>
        </w:rPr>
        <w:t xml:space="preserve"> for additional information.</w:t>
      </w:r>
    </w:p>
    <w:p w:rsidR="00F002E0" w:rsidRDefault="00F002E0" w:rsidP="00286309">
      <w:pPr>
        <w:pStyle w:val="Default"/>
        <w:rPr>
          <w:color w:val="auto"/>
          <w:sz w:val="20"/>
          <w:szCs w:val="20"/>
        </w:rPr>
      </w:pPr>
    </w:p>
    <w:p w:rsidR="00286309" w:rsidRPr="00996A48" w:rsidRDefault="00286309" w:rsidP="00286309">
      <w:pPr>
        <w:pStyle w:val="Default"/>
        <w:jc w:val="right"/>
        <w:rPr>
          <w:color w:val="auto"/>
          <w:sz w:val="18"/>
          <w:szCs w:val="18"/>
        </w:rPr>
      </w:pPr>
      <w:r w:rsidRPr="00996A48">
        <w:rPr>
          <w:color w:val="auto"/>
          <w:sz w:val="18"/>
          <w:szCs w:val="18"/>
        </w:rPr>
        <w:t>Fall 2014</w:t>
      </w:r>
      <w:r w:rsidR="00996A48">
        <w:rPr>
          <w:color w:val="auto"/>
          <w:sz w:val="18"/>
          <w:szCs w:val="18"/>
        </w:rPr>
        <w:t xml:space="preserve"> – Revised Fall 2017</w:t>
      </w:r>
    </w:p>
    <w:sectPr w:rsidR="00286309" w:rsidRPr="00996A48" w:rsidSect="003026BA">
      <w:pgSz w:w="12240" w:h="163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2" o:title=""/>
      </v:shape>
    </w:pict>
  </w:numPicBullet>
  <w:numPicBullet w:numPicBulletId="2">
    <w:pict>
      <v:shape id="_x0000_i1027" type="#_x0000_t75" style="width:3in;height:3in" o:bullet="t">
        <v:imagedata r:id="rId2" o:title=""/>
      </v:shape>
    </w:pict>
  </w:numPicBullet>
  <w:numPicBullet w:numPicBulletId="3">
    <w:pict>
      <v:shape id="_x0000_i1028" type="#_x0000_t75" style="width:3in;height:3in" o:bullet="t">
        <v:imagedata r:id="rId2" o:title=""/>
      </v:shape>
    </w:pict>
  </w:numPicBullet>
  <w:numPicBullet w:numPicBulletId="4">
    <w:pict>
      <v:shape id="_x0000_i1029" type="#_x0000_t75" style="width:3in;height:3in" o:bullet="t">
        <v:imagedata r:id="rId2" o:title=""/>
      </v:shape>
    </w:pict>
  </w:numPicBullet>
  <w:numPicBullet w:numPicBulletId="5">
    <w:pict>
      <v:shape id="_x0000_i1030" type="#_x0000_t75" style="width:3in;height:3in" o:bullet="t">
        <v:imagedata r:id="rId2" o:title=""/>
      </v:shape>
    </w:pict>
  </w:numPicBullet>
  <w:abstractNum w:abstractNumId="0" w15:restartNumberingAfterBreak="0">
    <w:nsid w:val="E526B510"/>
    <w:multiLevelType w:val="hybridMultilevel"/>
    <w:tmpl w:val="92822F2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DC22CC7"/>
    <w:multiLevelType w:val="hybridMultilevel"/>
    <w:tmpl w:val="23C00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28494E"/>
    <w:multiLevelType w:val="hybridMultilevel"/>
    <w:tmpl w:val="E70E9C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B67265"/>
    <w:multiLevelType w:val="multilevel"/>
    <w:tmpl w:val="A9B2975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9137A9"/>
    <w:multiLevelType w:val="hybridMultilevel"/>
    <w:tmpl w:val="32DC8C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MDQ3NjQzMzIwMzBX0lEKTi0uzszPAykwrAUAclOmeywAAAA="/>
  </w:docVars>
  <w:rsids>
    <w:rsidRoot w:val="00AE6704"/>
    <w:rsid w:val="0003343B"/>
    <w:rsid w:val="00064192"/>
    <w:rsid w:val="00066608"/>
    <w:rsid w:val="00076DF6"/>
    <w:rsid w:val="00076FC7"/>
    <w:rsid w:val="00093F4D"/>
    <w:rsid w:val="000A4C4A"/>
    <w:rsid w:val="000C2859"/>
    <w:rsid w:val="001100DD"/>
    <w:rsid w:val="001260D1"/>
    <w:rsid w:val="001429EE"/>
    <w:rsid w:val="001436C0"/>
    <w:rsid w:val="00154ED0"/>
    <w:rsid w:val="0018196B"/>
    <w:rsid w:val="00195018"/>
    <w:rsid w:val="00197222"/>
    <w:rsid w:val="001A184F"/>
    <w:rsid w:val="001A2EBF"/>
    <w:rsid w:val="001A30D8"/>
    <w:rsid w:val="001A743B"/>
    <w:rsid w:val="001D7AAF"/>
    <w:rsid w:val="001E4C4F"/>
    <w:rsid w:val="00222CA4"/>
    <w:rsid w:val="00225459"/>
    <w:rsid w:val="00252DC6"/>
    <w:rsid w:val="002674E7"/>
    <w:rsid w:val="00286309"/>
    <w:rsid w:val="002A57D3"/>
    <w:rsid w:val="003026BA"/>
    <w:rsid w:val="0031199E"/>
    <w:rsid w:val="00351E9B"/>
    <w:rsid w:val="003B1C1F"/>
    <w:rsid w:val="003B2173"/>
    <w:rsid w:val="003E6CDC"/>
    <w:rsid w:val="003F35CC"/>
    <w:rsid w:val="004519BC"/>
    <w:rsid w:val="0048036B"/>
    <w:rsid w:val="004A50B0"/>
    <w:rsid w:val="00522957"/>
    <w:rsid w:val="00557001"/>
    <w:rsid w:val="00572D59"/>
    <w:rsid w:val="005A0EC4"/>
    <w:rsid w:val="005A6BB7"/>
    <w:rsid w:val="005B607C"/>
    <w:rsid w:val="005E4C56"/>
    <w:rsid w:val="00611743"/>
    <w:rsid w:val="006206D8"/>
    <w:rsid w:val="006628B4"/>
    <w:rsid w:val="00670D19"/>
    <w:rsid w:val="006A02FC"/>
    <w:rsid w:val="00703CAF"/>
    <w:rsid w:val="00761F62"/>
    <w:rsid w:val="00762883"/>
    <w:rsid w:val="007631A7"/>
    <w:rsid w:val="0079563E"/>
    <w:rsid w:val="007F2339"/>
    <w:rsid w:val="008543F7"/>
    <w:rsid w:val="008570FE"/>
    <w:rsid w:val="008674FD"/>
    <w:rsid w:val="0087273E"/>
    <w:rsid w:val="00877588"/>
    <w:rsid w:val="00882A6A"/>
    <w:rsid w:val="008F76A5"/>
    <w:rsid w:val="00906D0E"/>
    <w:rsid w:val="00913D89"/>
    <w:rsid w:val="00922333"/>
    <w:rsid w:val="009351AE"/>
    <w:rsid w:val="00956F28"/>
    <w:rsid w:val="0096070B"/>
    <w:rsid w:val="00975FF9"/>
    <w:rsid w:val="00976356"/>
    <w:rsid w:val="00996A48"/>
    <w:rsid w:val="009A436F"/>
    <w:rsid w:val="009C7CBA"/>
    <w:rsid w:val="009E30C8"/>
    <w:rsid w:val="009E6163"/>
    <w:rsid w:val="00A66FFC"/>
    <w:rsid w:val="00A75690"/>
    <w:rsid w:val="00A91A87"/>
    <w:rsid w:val="00AE6704"/>
    <w:rsid w:val="00B0285D"/>
    <w:rsid w:val="00B2300B"/>
    <w:rsid w:val="00B3602F"/>
    <w:rsid w:val="00B67514"/>
    <w:rsid w:val="00B958A2"/>
    <w:rsid w:val="00BE74DF"/>
    <w:rsid w:val="00C57EC8"/>
    <w:rsid w:val="00C67044"/>
    <w:rsid w:val="00CB3D5E"/>
    <w:rsid w:val="00D17691"/>
    <w:rsid w:val="00D31F8E"/>
    <w:rsid w:val="00D5231E"/>
    <w:rsid w:val="00D57AB4"/>
    <w:rsid w:val="00DA1462"/>
    <w:rsid w:val="00DB4FD3"/>
    <w:rsid w:val="00DD1809"/>
    <w:rsid w:val="00E37DCB"/>
    <w:rsid w:val="00E64C30"/>
    <w:rsid w:val="00E84F60"/>
    <w:rsid w:val="00EB0A70"/>
    <w:rsid w:val="00EF070C"/>
    <w:rsid w:val="00F002E0"/>
    <w:rsid w:val="00F43CD4"/>
    <w:rsid w:val="00F47D28"/>
    <w:rsid w:val="00F6223B"/>
    <w:rsid w:val="00FB7FED"/>
    <w:rsid w:val="00FC7517"/>
    <w:rsid w:val="00FD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chartTrackingRefBased/>
  <w15:docId w15:val="{77EA396C-A400-4650-857A-D33474AC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4519BC"/>
    <w:rPr>
      <w:rFonts w:ascii="Times New Roman" w:hAnsi="Times New Roman"/>
    </w:rPr>
  </w:style>
  <w:style w:type="character" w:styleId="Hyperlink">
    <w:name w:val="Hyperlink"/>
    <w:uiPriority w:val="99"/>
    <w:rsid w:val="007F233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63902">
      <w:bodyDiv w:val="1"/>
      <w:marLeft w:val="0"/>
      <w:marRight w:val="0"/>
      <w:marTop w:val="0"/>
      <w:marBottom w:val="0"/>
      <w:divBdr>
        <w:top w:val="none" w:sz="0" w:space="0" w:color="auto"/>
        <w:left w:val="none" w:sz="0" w:space="0" w:color="auto"/>
        <w:bottom w:val="none" w:sz="0" w:space="0" w:color="auto"/>
        <w:right w:val="none" w:sz="0" w:space="0" w:color="auto"/>
      </w:divBdr>
    </w:div>
    <w:div w:id="1312172390">
      <w:marLeft w:val="0"/>
      <w:marRight w:val="0"/>
      <w:marTop w:val="0"/>
      <w:marBottom w:val="0"/>
      <w:divBdr>
        <w:top w:val="none" w:sz="0" w:space="0" w:color="auto"/>
        <w:left w:val="none" w:sz="0" w:space="0" w:color="auto"/>
        <w:bottom w:val="none" w:sz="0" w:space="0" w:color="auto"/>
        <w:right w:val="none" w:sz="0" w:space="0" w:color="auto"/>
      </w:divBdr>
    </w:div>
    <w:div w:id="1312172391">
      <w:marLeft w:val="0"/>
      <w:marRight w:val="0"/>
      <w:marTop w:val="0"/>
      <w:marBottom w:val="0"/>
      <w:divBdr>
        <w:top w:val="none" w:sz="0" w:space="0" w:color="auto"/>
        <w:left w:val="none" w:sz="0" w:space="0" w:color="auto"/>
        <w:bottom w:val="none" w:sz="0" w:space="0" w:color="auto"/>
        <w:right w:val="none" w:sz="0" w:space="0" w:color="auto"/>
      </w:divBdr>
    </w:div>
    <w:div w:id="1312172399">
      <w:marLeft w:val="0"/>
      <w:marRight w:val="0"/>
      <w:marTop w:val="0"/>
      <w:marBottom w:val="0"/>
      <w:divBdr>
        <w:top w:val="none" w:sz="0" w:space="0" w:color="auto"/>
        <w:left w:val="none" w:sz="0" w:space="0" w:color="auto"/>
        <w:bottom w:val="none" w:sz="0" w:space="0" w:color="auto"/>
        <w:right w:val="none" w:sz="0" w:space="0" w:color="auto"/>
      </w:divBdr>
      <w:divsChild>
        <w:div w:id="1312172404">
          <w:marLeft w:val="0"/>
          <w:marRight w:val="0"/>
          <w:marTop w:val="100"/>
          <w:marBottom w:val="100"/>
          <w:divBdr>
            <w:top w:val="none" w:sz="0" w:space="0" w:color="auto"/>
            <w:left w:val="none" w:sz="0" w:space="0" w:color="auto"/>
            <w:bottom w:val="none" w:sz="0" w:space="0" w:color="auto"/>
            <w:right w:val="none" w:sz="0" w:space="0" w:color="auto"/>
          </w:divBdr>
          <w:divsChild>
            <w:div w:id="1312172395">
              <w:marLeft w:val="0"/>
              <w:marRight w:val="0"/>
              <w:marTop w:val="0"/>
              <w:marBottom w:val="0"/>
              <w:divBdr>
                <w:top w:val="none" w:sz="0" w:space="0" w:color="auto"/>
                <w:left w:val="none" w:sz="0" w:space="0" w:color="auto"/>
                <w:bottom w:val="none" w:sz="0" w:space="0" w:color="auto"/>
                <w:right w:val="none" w:sz="0" w:space="0" w:color="auto"/>
              </w:divBdr>
              <w:divsChild>
                <w:div w:id="1312172398">
                  <w:marLeft w:val="0"/>
                  <w:marRight w:val="0"/>
                  <w:marTop w:val="0"/>
                  <w:marBottom w:val="0"/>
                  <w:divBdr>
                    <w:top w:val="none" w:sz="0" w:space="0" w:color="auto"/>
                    <w:left w:val="none" w:sz="0" w:space="0" w:color="auto"/>
                    <w:bottom w:val="none" w:sz="0" w:space="0" w:color="auto"/>
                    <w:right w:val="none" w:sz="0" w:space="0" w:color="auto"/>
                  </w:divBdr>
                  <w:divsChild>
                    <w:div w:id="1312172408">
                      <w:marLeft w:val="0"/>
                      <w:marRight w:val="0"/>
                      <w:marTop w:val="0"/>
                      <w:marBottom w:val="0"/>
                      <w:divBdr>
                        <w:top w:val="none" w:sz="0" w:space="0" w:color="auto"/>
                        <w:left w:val="none" w:sz="0" w:space="0" w:color="auto"/>
                        <w:bottom w:val="none" w:sz="0" w:space="0" w:color="auto"/>
                        <w:right w:val="none" w:sz="0" w:space="0" w:color="auto"/>
                      </w:divBdr>
                      <w:divsChild>
                        <w:div w:id="1312172396">
                          <w:marLeft w:val="150"/>
                          <w:marRight w:val="0"/>
                          <w:marTop w:val="0"/>
                          <w:marBottom w:val="0"/>
                          <w:divBdr>
                            <w:top w:val="none" w:sz="0" w:space="0" w:color="auto"/>
                            <w:left w:val="none" w:sz="0" w:space="0" w:color="auto"/>
                            <w:bottom w:val="none" w:sz="0" w:space="0" w:color="auto"/>
                            <w:right w:val="none" w:sz="0" w:space="0" w:color="auto"/>
                          </w:divBdr>
                          <w:divsChild>
                            <w:div w:id="1312172412">
                              <w:marLeft w:val="0"/>
                              <w:marRight w:val="0"/>
                              <w:marTop w:val="0"/>
                              <w:marBottom w:val="0"/>
                              <w:divBdr>
                                <w:top w:val="none" w:sz="0" w:space="0" w:color="auto"/>
                                <w:left w:val="none" w:sz="0" w:space="0" w:color="auto"/>
                                <w:bottom w:val="none" w:sz="0" w:space="0" w:color="auto"/>
                                <w:right w:val="none" w:sz="0" w:space="0" w:color="auto"/>
                              </w:divBdr>
                              <w:divsChild>
                                <w:div w:id="1312172403">
                                  <w:marLeft w:val="0"/>
                                  <w:marRight w:val="0"/>
                                  <w:marTop w:val="0"/>
                                  <w:marBottom w:val="0"/>
                                  <w:divBdr>
                                    <w:top w:val="none" w:sz="0" w:space="0" w:color="auto"/>
                                    <w:left w:val="none" w:sz="0" w:space="0" w:color="auto"/>
                                    <w:bottom w:val="none" w:sz="0" w:space="0" w:color="auto"/>
                                    <w:right w:val="none" w:sz="0" w:space="0" w:color="auto"/>
                                  </w:divBdr>
                                  <w:divsChild>
                                    <w:div w:id="1312172411">
                                      <w:marLeft w:val="0"/>
                                      <w:marRight w:val="0"/>
                                      <w:marTop w:val="0"/>
                                      <w:marBottom w:val="0"/>
                                      <w:divBdr>
                                        <w:top w:val="none" w:sz="0" w:space="0" w:color="auto"/>
                                        <w:left w:val="none" w:sz="0" w:space="0" w:color="auto"/>
                                        <w:bottom w:val="none" w:sz="0" w:space="0" w:color="auto"/>
                                        <w:right w:val="none" w:sz="0" w:space="0" w:color="auto"/>
                                      </w:divBdr>
                                      <w:divsChild>
                                        <w:div w:id="1312172397">
                                          <w:marLeft w:val="0"/>
                                          <w:marRight w:val="0"/>
                                          <w:marTop w:val="0"/>
                                          <w:marBottom w:val="0"/>
                                          <w:divBdr>
                                            <w:top w:val="none" w:sz="0" w:space="0" w:color="auto"/>
                                            <w:left w:val="none" w:sz="0" w:space="0" w:color="auto"/>
                                            <w:bottom w:val="none" w:sz="0" w:space="0" w:color="auto"/>
                                            <w:right w:val="none" w:sz="0" w:space="0" w:color="auto"/>
                                          </w:divBdr>
                                          <w:divsChild>
                                            <w:div w:id="1312172401">
                                              <w:marLeft w:val="0"/>
                                              <w:marRight w:val="0"/>
                                              <w:marTop w:val="0"/>
                                              <w:marBottom w:val="0"/>
                                              <w:divBdr>
                                                <w:top w:val="none" w:sz="0" w:space="0" w:color="auto"/>
                                                <w:left w:val="none" w:sz="0" w:space="0" w:color="auto"/>
                                                <w:bottom w:val="none" w:sz="0" w:space="0" w:color="auto"/>
                                                <w:right w:val="none" w:sz="0" w:space="0" w:color="auto"/>
                                              </w:divBdr>
                                              <w:divsChild>
                                                <w:div w:id="1312172393">
                                                  <w:marLeft w:val="0"/>
                                                  <w:marRight w:val="0"/>
                                                  <w:marTop w:val="0"/>
                                                  <w:marBottom w:val="0"/>
                                                  <w:divBdr>
                                                    <w:top w:val="none" w:sz="0" w:space="0" w:color="auto"/>
                                                    <w:left w:val="none" w:sz="0" w:space="0" w:color="auto"/>
                                                    <w:bottom w:val="none" w:sz="0" w:space="0" w:color="auto"/>
                                                    <w:right w:val="none" w:sz="0" w:space="0" w:color="auto"/>
                                                  </w:divBdr>
                                                  <w:divsChild>
                                                    <w:div w:id="13121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172400">
      <w:marLeft w:val="0"/>
      <w:marRight w:val="0"/>
      <w:marTop w:val="0"/>
      <w:marBottom w:val="0"/>
      <w:divBdr>
        <w:top w:val="none" w:sz="0" w:space="0" w:color="auto"/>
        <w:left w:val="none" w:sz="0" w:space="0" w:color="auto"/>
        <w:bottom w:val="none" w:sz="0" w:space="0" w:color="auto"/>
        <w:right w:val="none" w:sz="0" w:space="0" w:color="auto"/>
      </w:divBdr>
      <w:divsChild>
        <w:div w:id="1312172414">
          <w:marLeft w:val="0"/>
          <w:marRight w:val="0"/>
          <w:marTop w:val="100"/>
          <w:marBottom w:val="100"/>
          <w:divBdr>
            <w:top w:val="none" w:sz="0" w:space="0" w:color="auto"/>
            <w:left w:val="none" w:sz="0" w:space="0" w:color="auto"/>
            <w:bottom w:val="none" w:sz="0" w:space="0" w:color="auto"/>
            <w:right w:val="none" w:sz="0" w:space="0" w:color="auto"/>
          </w:divBdr>
          <w:divsChild>
            <w:div w:id="1312172394">
              <w:marLeft w:val="0"/>
              <w:marRight w:val="0"/>
              <w:marTop w:val="0"/>
              <w:marBottom w:val="0"/>
              <w:divBdr>
                <w:top w:val="none" w:sz="0" w:space="0" w:color="auto"/>
                <w:left w:val="none" w:sz="0" w:space="0" w:color="auto"/>
                <w:bottom w:val="none" w:sz="0" w:space="0" w:color="auto"/>
                <w:right w:val="none" w:sz="0" w:space="0" w:color="auto"/>
              </w:divBdr>
              <w:divsChild>
                <w:div w:id="1312172405">
                  <w:marLeft w:val="0"/>
                  <w:marRight w:val="0"/>
                  <w:marTop w:val="0"/>
                  <w:marBottom w:val="0"/>
                  <w:divBdr>
                    <w:top w:val="none" w:sz="0" w:space="0" w:color="auto"/>
                    <w:left w:val="none" w:sz="0" w:space="0" w:color="auto"/>
                    <w:bottom w:val="none" w:sz="0" w:space="0" w:color="auto"/>
                    <w:right w:val="none" w:sz="0" w:space="0" w:color="auto"/>
                  </w:divBdr>
                  <w:divsChild>
                    <w:div w:id="1312172402">
                      <w:marLeft w:val="0"/>
                      <w:marRight w:val="0"/>
                      <w:marTop w:val="0"/>
                      <w:marBottom w:val="0"/>
                      <w:divBdr>
                        <w:top w:val="none" w:sz="0" w:space="0" w:color="auto"/>
                        <w:left w:val="none" w:sz="0" w:space="0" w:color="auto"/>
                        <w:bottom w:val="none" w:sz="0" w:space="0" w:color="auto"/>
                        <w:right w:val="none" w:sz="0" w:space="0" w:color="auto"/>
                      </w:divBdr>
                      <w:divsChild>
                        <w:div w:id="1312172417">
                          <w:marLeft w:val="150"/>
                          <w:marRight w:val="0"/>
                          <w:marTop w:val="0"/>
                          <w:marBottom w:val="0"/>
                          <w:divBdr>
                            <w:top w:val="none" w:sz="0" w:space="0" w:color="auto"/>
                            <w:left w:val="none" w:sz="0" w:space="0" w:color="auto"/>
                            <w:bottom w:val="none" w:sz="0" w:space="0" w:color="auto"/>
                            <w:right w:val="none" w:sz="0" w:space="0" w:color="auto"/>
                          </w:divBdr>
                          <w:divsChild>
                            <w:div w:id="1312172410">
                              <w:marLeft w:val="0"/>
                              <w:marRight w:val="0"/>
                              <w:marTop w:val="0"/>
                              <w:marBottom w:val="0"/>
                              <w:divBdr>
                                <w:top w:val="none" w:sz="0" w:space="0" w:color="auto"/>
                                <w:left w:val="none" w:sz="0" w:space="0" w:color="auto"/>
                                <w:bottom w:val="none" w:sz="0" w:space="0" w:color="auto"/>
                                <w:right w:val="none" w:sz="0" w:space="0" w:color="auto"/>
                              </w:divBdr>
                              <w:divsChild>
                                <w:div w:id="1312172415">
                                  <w:marLeft w:val="0"/>
                                  <w:marRight w:val="0"/>
                                  <w:marTop w:val="0"/>
                                  <w:marBottom w:val="0"/>
                                  <w:divBdr>
                                    <w:top w:val="none" w:sz="0" w:space="0" w:color="auto"/>
                                    <w:left w:val="none" w:sz="0" w:space="0" w:color="auto"/>
                                    <w:bottom w:val="none" w:sz="0" w:space="0" w:color="auto"/>
                                    <w:right w:val="none" w:sz="0" w:space="0" w:color="auto"/>
                                  </w:divBdr>
                                  <w:divsChild>
                                    <w:div w:id="1312172407">
                                      <w:marLeft w:val="0"/>
                                      <w:marRight w:val="0"/>
                                      <w:marTop w:val="0"/>
                                      <w:marBottom w:val="0"/>
                                      <w:divBdr>
                                        <w:top w:val="none" w:sz="0" w:space="0" w:color="auto"/>
                                        <w:left w:val="none" w:sz="0" w:space="0" w:color="auto"/>
                                        <w:bottom w:val="none" w:sz="0" w:space="0" w:color="auto"/>
                                        <w:right w:val="none" w:sz="0" w:space="0" w:color="auto"/>
                                      </w:divBdr>
                                      <w:divsChild>
                                        <w:div w:id="1312172406">
                                          <w:marLeft w:val="0"/>
                                          <w:marRight w:val="0"/>
                                          <w:marTop w:val="0"/>
                                          <w:marBottom w:val="0"/>
                                          <w:divBdr>
                                            <w:top w:val="none" w:sz="0" w:space="0" w:color="auto"/>
                                            <w:left w:val="none" w:sz="0" w:space="0" w:color="auto"/>
                                            <w:bottom w:val="none" w:sz="0" w:space="0" w:color="auto"/>
                                            <w:right w:val="none" w:sz="0" w:space="0" w:color="auto"/>
                                          </w:divBdr>
                                          <w:divsChild>
                                            <w:div w:id="1312172413">
                                              <w:marLeft w:val="0"/>
                                              <w:marRight w:val="0"/>
                                              <w:marTop w:val="0"/>
                                              <w:marBottom w:val="0"/>
                                              <w:divBdr>
                                                <w:top w:val="none" w:sz="0" w:space="0" w:color="auto"/>
                                                <w:left w:val="none" w:sz="0" w:space="0" w:color="auto"/>
                                                <w:bottom w:val="none" w:sz="0" w:space="0" w:color="auto"/>
                                                <w:right w:val="none" w:sz="0" w:space="0" w:color="auto"/>
                                              </w:divBdr>
                                              <w:divsChild>
                                                <w:div w:id="1312172416">
                                                  <w:marLeft w:val="0"/>
                                                  <w:marRight w:val="0"/>
                                                  <w:marTop w:val="0"/>
                                                  <w:marBottom w:val="0"/>
                                                  <w:divBdr>
                                                    <w:top w:val="none" w:sz="0" w:space="0" w:color="auto"/>
                                                    <w:left w:val="none" w:sz="0" w:space="0" w:color="auto"/>
                                                    <w:bottom w:val="none" w:sz="0" w:space="0" w:color="auto"/>
                                                    <w:right w:val="none" w:sz="0" w:space="0" w:color="auto"/>
                                                  </w:divBdr>
                                                  <w:divsChild>
                                                    <w:div w:id="13121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in.edu/academics/programs/Workforce_SCANS_Skills_Syllabi_Code_Key.pdf"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3873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The following items should be included on the instructor/faculty syllabus:</vt:lpstr>
    </vt:vector>
  </TitlesOfParts>
  <Company>CCCCD</Company>
  <LinksUpToDate>false</LinksUpToDate>
  <CharactersWithSpaces>4275</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items should be included on the instructor/faculty syllabus:</dc:title>
  <dc:subject/>
  <dc:creator>CCCCD</dc:creator>
  <cp:keywords/>
  <cp:lastModifiedBy>Villa Vance</cp:lastModifiedBy>
  <cp:revision>2</cp:revision>
  <cp:lastPrinted>2009-01-07T01:21:00Z</cp:lastPrinted>
  <dcterms:created xsi:type="dcterms:W3CDTF">2017-03-27T15:24:00Z</dcterms:created>
  <dcterms:modified xsi:type="dcterms:W3CDTF">2017-03-27T15:24:00Z</dcterms:modified>
</cp:coreProperties>
</file>